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6236" w:rsidRPr="00AD1AAB" w:rsidRDefault="00806236" w:rsidP="00806236">
      <w:pPr>
        <w:pStyle w:val="Nzov"/>
        <w:rPr>
          <w:lang w:bidi="ar-SA"/>
        </w:rPr>
      </w:pPr>
      <w:r w:rsidRPr="00AD1AAB">
        <w:rPr>
          <w:lang w:bidi="ar-SA"/>
        </w:rPr>
        <w:t>TECHNICKÁ SPRÁVA</w:t>
      </w:r>
    </w:p>
    <w:p w:rsidR="00806236" w:rsidRDefault="00806236" w:rsidP="00806236">
      <w:pPr>
        <w:jc w:val="center"/>
        <w:rPr>
          <w:lang w:bidi="ar-SA"/>
        </w:rPr>
      </w:pPr>
      <w:r w:rsidRPr="00AD1AAB">
        <w:rPr>
          <w:lang w:bidi="ar-SA"/>
        </w:rPr>
        <w:t xml:space="preserve">k dokumentácii </w:t>
      </w:r>
      <w:r>
        <w:rPr>
          <w:lang w:bidi="ar-SA"/>
        </w:rPr>
        <w:t xml:space="preserve">na </w:t>
      </w:r>
      <w:r w:rsidR="00444AB3">
        <w:rPr>
          <w:lang w:bidi="ar-SA"/>
        </w:rPr>
        <w:t>stavebné povolenie a realizáciu stavby</w:t>
      </w:r>
      <w:r w:rsidRPr="00AD1AAB">
        <w:rPr>
          <w:lang w:bidi="ar-SA"/>
        </w:rPr>
        <w:t xml:space="preserve"> (</w:t>
      </w:r>
      <w:r w:rsidR="00444AB3">
        <w:rPr>
          <w:lang w:bidi="ar-SA"/>
        </w:rPr>
        <w:t xml:space="preserve">DSP, </w:t>
      </w:r>
      <w:r w:rsidRPr="00AD1AAB">
        <w:rPr>
          <w:lang w:bidi="ar-SA"/>
        </w:rPr>
        <w:t>D</w:t>
      </w:r>
      <w:r>
        <w:rPr>
          <w:lang w:bidi="ar-SA"/>
        </w:rPr>
        <w:t>RS</w:t>
      </w:r>
      <w:r w:rsidRPr="00AD1AAB">
        <w:rPr>
          <w:lang w:bidi="ar-SA"/>
        </w:rPr>
        <w:t>)</w:t>
      </w:r>
    </w:p>
    <w:p w:rsidR="00E768FA" w:rsidRDefault="00E768FA" w:rsidP="00E768FA">
      <w:pPr>
        <w:pStyle w:val="Nadpis1"/>
      </w:pPr>
      <w:r w:rsidRPr="009E17A1">
        <w:t>IDENTIFIKAČNÉ ÚDAJE</w:t>
      </w:r>
    </w:p>
    <w:p w:rsidR="00BE6698" w:rsidRPr="00067F66" w:rsidRDefault="00BE6698" w:rsidP="00BE6698">
      <w:pPr>
        <w:rPr>
          <w:b/>
        </w:rPr>
      </w:pPr>
      <w:r w:rsidRPr="00067F66">
        <w:rPr>
          <w:b/>
        </w:rPr>
        <w:t>Názov stavby</w:t>
      </w:r>
      <w:r w:rsidR="00067F66" w:rsidRPr="00067F66">
        <w:rPr>
          <w:b/>
        </w:rPr>
        <w:t>:</w:t>
      </w:r>
      <w:r w:rsidR="00067F66" w:rsidRPr="00067F66">
        <w:rPr>
          <w:b/>
        </w:rPr>
        <w:tab/>
      </w:r>
      <w:r w:rsidR="00067F66" w:rsidRPr="00067F66">
        <w:rPr>
          <w:b/>
        </w:rPr>
        <w:tab/>
      </w:r>
      <w:r w:rsidR="00067F66" w:rsidRPr="00067F66">
        <w:rPr>
          <w:b/>
        </w:rPr>
        <w:tab/>
        <w:t xml:space="preserve">Veľký Šariš – most </w:t>
      </w:r>
      <w:proofErr w:type="spellStart"/>
      <w:r w:rsidR="00067F66" w:rsidRPr="00067F66">
        <w:rPr>
          <w:b/>
        </w:rPr>
        <w:t>Baratoky</w:t>
      </w:r>
      <w:proofErr w:type="spellEnd"/>
      <w:r w:rsidR="00067F66" w:rsidRPr="00067F66">
        <w:rPr>
          <w:b/>
        </w:rPr>
        <w:t xml:space="preserve"> a prislúchajúca komunikácia</w:t>
      </w:r>
    </w:p>
    <w:p w:rsidR="00BE6698" w:rsidRPr="00067F66" w:rsidRDefault="00BE6698" w:rsidP="00BE6698">
      <w:pPr>
        <w:rPr>
          <w:b/>
        </w:rPr>
      </w:pPr>
      <w:r w:rsidRPr="00067F66">
        <w:rPr>
          <w:b/>
        </w:rPr>
        <w:t xml:space="preserve">Názov objektu: </w:t>
      </w:r>
      <w:r w:rsidRPr="00067F66">
        <w:rPr>
          <w:b/>
        </w:rPr>
        <w:tab/>
      </w:r>
      <w:r w:rsidR="00067F66" w:rsidRPr="00067F66">
        <w:rPr>
          <w:b/>
        </w:rPr>
        <w:tab/>
      </w:r>
      <w:r w:rsidR="00067F66" w:rsidRPr="00067F66">
        <w:rPr>
          <w:b/>
        </w:rPr>
        <w:tab/>
        <w:t>620-00 Verejné osvetlenie</w:t>
      </w:r>
    </w:p>
    <w:p w:rsidR="00BE6698" w:rsidRDefault="00BE6698" w:rsidP="00BE6698">
      <w:r>
        <w:t>Katastrálne územie</w:t>
      </w:r>
      <w:r w:rsidR="00067F66">
        <w:t>:</w:t>
      </w:r>
      <w:r w:rsidR="00067F66" w:rsidRPr="00067F66">
        <w:t xml:space="preserve"> </w:t>
      </w:r>
      <w:r w:rsidR="00067F66">
        <w:tab/>
      </w:r>
      <w:r w:rsidR="00067F66">
        <w:tab/>
        <w:t>Veľký Šariš</w:t>
      </w:r>
    </w:p>
    <w:p w:rsidR="00BE6698" w:rsidRDefault="00BE6698" w:rsidP="00BE6698">
      <w:r>
        <w:t>Okres</w:t>
      </w:r>
      <w:r w:rsidR="00067F66">
        <w:t>:</w:t>
      </w:r>
      <w:r w:rsidR="00067F66" w:rsidRPr="00067F66">
        <w:t xml:space="preserve"> </w:t>
      </w:r>
      <w:r w:rsidR="00067F66">
        <w:tab/>
      </w:r>
      <w:r w:rsidR="00067F66">
        <w:tab/>
      </w:r>
      <w:r w:rsidR="00067F66">
        <w:tab/>
      </w:r>
      <w:r w:rsidR="00067F66">
        <w:tab/>
        <w:t>Prešov</w:t>
      </w:r>
    </w:p>
    <w:p w:rsidR="00BE6698" w:rsidRDefault="00BE6698" w:rsidP="00BE6698">
      <w:r>
        <w:t>Kraj</w:t>
      </w:r>
      <w:r w:rsidR="00067F66">
        <w:t>:</w:t>
      </w:r>
      <w:r w:rsidR="00067F66" w:rsidRPr="00067F66">
        <w:t xml:space="preserve"> </w:t>
      </w:r>
      <w:r w:rsidR="00067F66">
        <w:tab/>
      </w:r>
      <w:r w:rsidR="00067F66">
        <w:tab/>
      </w:r>
      <w:r w:rsidR="00067F66">
        <w:tab/>
      </w:r>
      <w:r w:rsidR="00067F66">
        <w:tab/>
        <w:t>Prešovský samosprávny kraj</w:t>
      </w:r>
    </w:p>
    <w:p w:rsidR="00BE6698" w:rsidRDefault="00BE6698" w:rsidP="00BE6698">
      <w:r>
        <w:t xml:space="preserve">Spracovateľ </w:t>
      </w:r>
      <w:r w:rsidR="00067F66">
        <w:t>dokumentácie:</w:t>
      </w:r>
      <w:r w:rsidR="00067F66" w:rsidRPr="00067F66">
        <w:t xml:space="preserve"> </w:t>
      </w:r>
      <w:r w:rsidR="00067F66">
        <w:tab/>
        <w:t xml:space="preserve">DOPRAVOPROJEKT </w:t>
      </w:r>
      <w:proofErr w:type="spellStart"/>
      <w:r w:rsidR="00067F66">
        <w:t>a.s</w:t>
      </w:r>
      <w:proofErr w:type="spellEnd"/>
      <w:r w:rsidR="00067F66">
        <w:t>. Bratislava, divízia Prešov</w:t>
      </w:r>
    </w:p>
    <w:p w:rsidR="00BE6698" w:rsidRDefault="00BE6698" w:rsidP="00BE6698">
      <w:r>
        <w:t>Zodpovedný projektant</w:t>
      </w:r>
      <w:r w:rsidR="00067F66">
        <w:t>:</w:t>
      </w:r>
      <w:r w:rsidR="00067F66">
        <w:tab/>
      </w:r>
      <w:r w:rsidR="00067F66">
        <w:tab/>
        <w:t>Ing. Juraj Kopčák</w:t>
      </w:r>
    </w:p>
    <w:p w:rsidR="00067F66" w:rsidRDefault="00067F66" w:rsidP="00067F66">
      <w:r>
        <w:t>Zodpovedný projektant objektu:</w:t>
      </w:r>
      <w:r>
        <w:tab/>
        <w:t>Ing. Juraj Urban</w:t>
      </w:r>
    </w:p>
    <w:p w:rsidR="00BE6698" w:rsidRDefault="00067F66" w:rsidP="00BE6698">
      <w:r>
        <w:t>Uvažovaný správca objektu:</w:t>
      </w:r>
      <w:r w:rsidRPr="00067F66">
        <w:t xml:space="preserve"> </w:t>
      </w:r>
      <w:r>
        <w:tab/>
        <w:t>Mesto Veľký Šariš</w:t>
      </w:r>
      <w:r w:rsidR="006A16B2">
        <w:t>,</w:t>
      </w:r>
      <w:r>
        <w:t xml:space="preserve"> Námestie sv. Jakuba č. 1, 082 21 Veľký Šariš</w:t>
      </w:r>
    </w:p>
    <w:p w:rsidR="00E768FA" w:rsidRDefault="00E768FA" w:rsidP="00E768FA">
      <w:pPr>
        <w:pStyle w:val="Nadpis1"/>
      </w:pPr>
      <w:r w:rsidRPr="009E17A1">
        <w:t>VŠEOBECNÉ ÚDAJE</w:t>
      </w:r>
    </w:p>
    <w:p w:rsidR="00E768FA" w:rsidRPr="009E17A1" w:rsidRDefault="00E768FA" w:rsidP="00E768FA">
      <w:pPr>
        <w:pStyle w:val="Nadpis2"/>
      </w:pPr>
      <w:r>
        <w:t>Predmet projektu</w:t>
      </w:r>
    </w:p>
    <w:p w:rsidR="00A363A7" w:rsidRDefault="00A363A7" w:rsidP="00E768FA">
      <w:pPr>
        <w:pStyle w:val="Odsekzoznamu"/>
        <w:ind w:left="0"/>
        <w:rPr>
          <w:bCs/>
        </w:rPr>
      </w:pPr>
      <w:r>
        <w:rPr>
          <w:bCs/>
        </w:rPr>
        <w:t xml:space="preserve">Predmetom projektu je verejné osvetlenie na </w:t>
      </w:r>
      <w:r w:rsidR="0023718E">
        <w:rPr>
          <w:bCs/>
        </w:rPr>
        <w:t xml:space="preserve">navrhovanej komunikácii s mostom </w:t>
      </w:r>
      <w:r w:rsidR="00B54E32">
        <w:rPr>
          <w:bCs/>
        </w:rPr>
        <w:t>v meste Veľký Šariš. Celková dĺžka komunikácie cca 650m.</w:t>
      </w:r>
    </w:p>
    <w:p w:rsidR="00E768FA" w:rsidRPr="00AF4A3B" w:rsidRDefault="00E768FA" w:rsidP="00E768FA">
      <w:pPr>
        <w:pStyle w:val="Nadpis2"/>
      </w:pPr>
      <w:r w:rsidRPr="00AF4A3B">
        <w:t>Hlavné parametre objektu</w:t>
      </w:r>
    </w:p>
    <w:p w:rsidR="00E768FA" w:rsidRPr="001E2139" w:rsidRDefault="00E768FA" w:rsidP="00E768FA">
      <w:pPr>
        <w:rPr>
          <w:lang w:bidi="ar-SA"/>
        </w:rPr>
      </w:pPr>
      <w:r w:rsidRPr="001E2139">
        <w:rPr>
          <w:lang w:bidi="ar-SA"/>
        </w:rPr>
        <w:t>Osvetľovacie stožiare 10m:</w:t>
      </w:r>
      <w:r w:rsidRPr="001E2139">
        <w:rPr>
          <w:lang w:bidi="ar-SA"/>
        </w:rPr>
        <w:tab/>
      </w:r>
      <w:r w:rsidR="00A363A7" w:rsidRPr="001E2139">
        <w:rPr>
          <w:lang w:bidi="ar-SA"/>
        </w:rPr>
        <w:tab/>
      </w:r>
      <w:r w:rsidR="00DF4F51" w:rsidRPr="001E2139">
        <w:rPr>
          <w:lang w:bidi="ar-SA"/>
        </w:rPr>
        <w:t>7</w:t>
      </w:r>
      <w:r w:rsidRPr="001E2139">
        <w:rPr>
          <w:lang w:bidi="ar-SA"/>
        </w:rPr>
        <w:t>ks</w:t>
      </w:r>
    </w:p>
    <w:p w:rsidR="00E768FA" w:rsidRPr="001E2139" w:rsidRDefault="00E768FA" w:rsidP="00E768FA">
      <w:pPr>
        <w:rPr>
          <w:lang w:bidi="ar-SA"/>
        </w:rPr>
      </w:pPr>
      <w:r w:rsidRPr="001E2139">
        <w:rPr>
          <w:lang w:bidi="ar-SA"/>
        </w:rPr>
        <w:t>Osvetľovacie stožiare 8m:</w:t>
      </w:r>
      <w:r w:rsidRPr="001E2139">
        <w:rPr>
          <w:lang w:bidi="ar-SA"/>
        </w:rPr>
        <w:tab/>
      </w:r>
      <w:r w:rsidRPr="001E2139">
        <w:rPr>
          <w:lang w:bidi="ar-SA"/>
        </w:rPr>
        <w:tab/>
      </w:r>
      <w:r w:rsidR="00A363A7" w:rsidRPr="001E2139">
        <w:rPr>
          <w:lang w:bidi="ar-SA"/>
        </w:rPr>
        <w:tab/>
      </w:r>
      <w:r w:rsidR="00DF4F51" w:rsidRPr="001E2139">
        <w:rPr>
          <w:lang w:bidi="ar-SA"/>
        </w:rPr>
        <w:t>9</w:t>
      </w:r>
      <w:r w:rsidRPr="001E2139">
        <w:rPr>
          <w:lang w:bidi="ar-SA"/>
        </w:rPr>
        <w:t>ks</w:t>
      </w:r>
    </w:p>
    <w:p w:rsidR="00A363A7" w:rsidRPr="001E2139" w:rsidRDefault="00A363A7" w:rsidP="00A363A7">
      <w:pPr>
        <w:rPr>
          <w:lang w:bidi="ar-SA"/>
        </w:rPr>
      </w:pPr>
      <w:r w:rsidRPr="001E2139">
        <w:rPr>
          <w:lang w:bidi="ar-SA"/>
        </w:rPr>
        <w:t>Osvetľovacie stožiare 6m (priechody):</w:t>
      </w:r>
      <w:r w:rsidRPr="001E2139">
        <w:rPr>
          <w:lang w:bidi="ar-SA"/>
        </w:rPr>
        <w:tab/>
      </w:r>
      <w:r w:rsidR="00B54E32" w:rsidRPr="001E2139">
        <w:rPr>
          <w:lang w:bidi="ar-SA"/>
        </w:rPr>
        <w:t>2</w:t>
      </w:r>
      <w:r w:rsidRPr="001E2139">
        <w:rPr>
          <w:lang w:bidi="ar-SA"/>
        </w:rPr>
        <w:t>ks</w:t>
      </w:r>
    </w:p>
    <w:p w:rsidR="00E768FA" w:rsidRDefault="00E768FA" w:rsidP="00E768FA">
      <w:pPr>
        <w:rPr>
          <w:lang w:bidi="ar-SA"/>
        </w:rPr>
      </w:pPr>
      <w:r w:rsidRPr="001E2139">
        <w:rPr>
          <w:lang w:bidi="ar-SA"/>
        </w:rPr>
        <w:t>Výložníky 1-ramenné:</w:t>
      </w:r>
      <w:r w:rsidRPr="001E2139">
        <w:rPr>
          <w:lang w:bidi="ar-SA"/>
        </w:rPr>
        <w:tab/>
      </w:r>
      <w:r w:rsidRPr="001E2139">
        <w:rPr>
          <w:lang w:bidi="ar-SA"/>
        </w:rPr>
        <w:tab/>
      </w:r>
      <w:r w:rsidR="00A363A7" w:rsidRPr="001E2139">
        <w:rPr>
          <w:lang w:bidi="ar-SA"/>
        </w:rPr>
        <w:tab/>
      </w:r>
      <w:r w:rsidR="00DF4F51" w:rsidRPr="001E2139">
        <w:rPr>
          <w:lang w:bidi="ar-SA"/>
        </w:rPr>
        <w:t>7</w:t>
      </w:r>
      <w:r w:rsidRPr="001E2139">
        <w:rPr>
          <w:lang w:bidi="ar-SA"/>
        </w:rPr>
        <w:t>ks</w:t>
      </w:r>
    </w:p>
    <w:p w:rsidR="00BA022F" w:rsidRPr="001E2139" w:rsidRDefault="00BA022F" w:rsidP="00BA022F">
      <w:pPr>
        <w:rPr>
          <w:lang w:bidi="ar-SA"/>
        </w:rPr>
      </w:pPr>
      <w:r w:rsidRPr="001E2139">
        <w:rPr>
          <w:lang w:bidi="ar-SA"/>
        </w:rPr>
        <w:t xml:space="preserve">Výložníky </w:t>
      </w:r>
      <w:r>
        <w:rPr>
          <w:lang w:bidi="ar-SA"/>
        </w:rPr>
        <w:t>2</w:t>
      </w:r>
      <w:r w:rsidRPr="001E2139">
        <w:rPr>
          <w:lang w:bidi="ar-SA"/>
        </w:rPr>
        <w:t>-ramenné:</w:t>
      </w:r>
      <w:r w:rsidRPr="001E2139">
        <w:rPr>
          <w:lang w:bidi="ar-SA"/>
        </w:rPr>
        <w:tab/>
      </w:r>
      <w:r w:rsidRPr="001E2139">
        <w:rPr>
          <w:lang w:bidi="ar-SA"/>
        </w:rPr>
        <w:tab/>
      </w:r>
      <w:r w:rsidRPr="001E2139">
        <w:rPr>
          <w:lang w:bidi="ar-SA"/>
        </w:rPr>
        <w:tab/>
      </w:r>
      <w:r>
        <w:rPr>
          <w:lang w:bidi="ar-SA"/>
        </w:rPr>
        <w:t>6</w:t>
      </w:r>
      <w:r w:rsidRPr="001E2139">
        <w:rPr>
          <w:lang w:bidi="ar-SA"/>
        </w:rPr>
        <w:t>ks</w:t>
      </w:r>
    </w:p>
    <w:p w:rsidR="00A363A7" w:rsidRPr="001E2139" w:rsidRDefault="00A363A7" w:rsidP="00A363A7">
      <w:pPr>
        <w:rPr>
          <w:lang w:bidi="ar-SA"/>
        </w:rPr>
      </w:pPr>
      <w:r w:rsidRPr="001E2139">
        <w:rPr>
          <w:lang w:bidi="ar-SA"/>
        </w:rPr>
        <w:t>Výložníky priechody:</w:t>
      </w:r>
      <w:r w:rsidRPr="001E2139">
        <w:rPr>
          <w:lang w:bidi="ar-SA"/>
        </w:rPr>
        <w:tab/>
      </w:r>
      <w:r w:rsidRPr="001E2139">
        <w:rPr>
          <w:lang w:bidi="ar-SA"/>
        </w:rPr>
        <w:tab/>
      </w:r>
      <w:r w:rsidRPr="001E2139">
        <w:rPr>
          <w:lang w:bidi="ar-SA"/>
        </w:rPr>
        <w:tab/>
      </w:r>
      <w:r w:rsidR="00DF4F51" w:rsidRPr="001E2139">
        <w:rPr>
          <w:lang w:bidi="ar-SA"/>
        </w:rPr>
        <w:t>2</w:t>
      </w:r>
      <w:r w:rsidRPr="001E2139">
        <w:rPr>
          <w:lang w:bidi="ar-SA"/>
        </w:rPr>
        <w:t>ks</w:t>
      </w:r>
    </w:p>
    <w:p w:rsidR="00E768FA" w:rsidRPr="001E2139" w:rsidRDefault="00E768FA" w:rsidP="00E768FA">
      <w:pPr>
        <w:rPr>
          <w:lang w:bidi="ar-SA"/>
        </w:rPr>
      </w:pPr>
      <w:r w:rsidRPr="001E2139">
        <w:rPr>
          <w:lang w:bidi="ar-SA"/>
        </w:rPr>
        <w:t>LED svietidlá:</w:t>
      </w:r>
      <w:r w:rsidRPr="001E2139">
        <w:rPr>
          <w:lang w:bidi="ar-SA"/>
        </w:rPr>
        <w:tab/>
      </w:r>
      <w:r w:rsidRPr="001E2139">
        <w:rPr>
          <w:lang w:bidi="ar-SA"/>
        </w:rPr>
        <w:tab/>
      </w:r>
      <w:r w:rsidR="00A363A7" w:rsidRPr="001E2139">
        <w:rPr>
          <w:lang w:bidi="ar-SA"/>
        </w:rPr>
        <w:tab/>
      </w:r>
      <w:r w:rsidR="008D64A8">
        <w:rPr>
          <w:lang w:bidi="ar-SA"/>
        </w:rPr>
        <w:tab/>
        <w:t>24</w:t>
      </w:r>
      <w:r w:rsidR="00A363A7" w:rsidRPr="001E2139">
        <w:rPr>
          <w:lang w:bidi="ar-SA"/>
        </w:rPr>
        <w:t>ks</w:t>
      </w:r>
    </w:p>
    <w:p w:rsidR="00E768FA" w:rsidRPr="001E2139" w:rsidRDefault="00E768FA" w:rsidP="00E768FA">
      <w:pPr>
        <w:rPr>
          <w:lang w:bidi="ar-SA"/>
        </w:rPr>
      </w:pPr>
      <w:r w:rsidRPr="001E2139">
        <w:rPr>
          <w:lang w:bidi="ar-SA"/>
        </w:rPr>
        <w:t>Káblový rozvod v chráničke:</w:t>
      </w:r>
      <w:r w:rsidRPr="001E2139">
        <w:rPr>
          <w:lang w:bidi="ar-SA"/>
        </w:rPr>
        <w:tab/>
      </w:r>
      <w:r w:rsidR="00A363A7" w:rsidRPr="001E2139">
        <w:rPr>
          <w:lang w:bidi="ar-SA"/>
        </w:rPr>
        <w:tab/>
      </w:r>
      <w:r w:rsidR="001E2139" w:rsidRPr="001E2139">
        <w:rPr>
          <w:lang w:bidi="ar-SA"/>
        </w:rPr>
        <w:t>A</w:t>
      </w:r>
      <w:r w:rsidRPr="001E2139">
        <w:rPr>
          <w:lang w:bidi="ar-SA"/>
        </w:rPr>
        <w:t xml:space="preserve">YKY-J 4x25mm2 - </w:t>
      </w:r>
      <w:r w:rsidR="001E2139" w:rsidRPr="001E2139">
        <w:rPr>
          <w:lang w:bidi="ar-SA"/>
        </w:rPr>
        <w:t>850</w:t>
      </w:r>
      <w:r w:rsidRPr="001E2139">
        <w:rPr>
          <w:lang w:bidi="ar-SA"/>
        </w:rPr>
        <w:t>m</w:t>
      </w:r>
    </w:p>
    <w:p w:rsidR="00941554" w:rsidRPr="001E2139" w:rsidRDefault="00B54E32" w:rsidP="00941554">
      <w:pPr>
        <w:rPr>
          <w:lang w:bidi="ar-SA"/>
        </w:rPr>
      </w:pPr>
      <w:r w:rsidRPr="001E2139">
        <w:rPr>
          <w:lang w:bidi="ar-SA"/>
        </w:rPr>
        <w:t xml:space="preserve">Demontáž </w:t>
      </w:r>
      <w:r w:rsidR="00941554" w:rsidRPr="001E2139">
        <w:rPr>
          <w:lang w:bidi="ar-SA"/>
        </w:rPr>
        <w:t>stožiar</w:t>
      </w:r>
      <w:r w:rsidRPr="001E2139">
        <w:rPr>
          <w:lang w:bidi="ar-SA"/>
        </w:rPr>
        <w:t>ov</w:t>
      </w:r>
      <w:r w:rsidR="00941554" w:rsidRPr="001E2139">
        <w:rPr>
          <w:lang w:bidi="ar-SA"/>
        </w:rPr>
        <w:t>:</w:t>
      </w:r>
      <w:r w:rsidR="00941554" w:rsidRPr="001E2139">
        <w:rPr>
          <w:lang w:bidi="ar-SA"/>
        </w:rPr>
        <w:tab/>
      </w:r>
      <w:r w:rsidR="00941554" w:rsidRPr="001E2139">
        <w:rPr>
          <w:lang w:bidi="ar-SA"/>
        </w:rPr>
        <w:tab/>
      </w:r>
      <w:r w:rsidRPr="001E2139">
        <w:rPr>
          <w:lang w:bidi="ar-SA"/>
        </w:rPr>
        <w:tab/>
        <w:t>1</w:t>
      </w:r>
      <w:r w:rsidR="00941554" w:rsidRPr="001E2139">
        <w:rPr>
          <w:lang w:bidi="ar-SA"/>
        </w:rPr>
        <w:t>ks</w:t>
      </w:r>
    </w:p>
    <w:p w:rsidR="00E768FA" w:rsidRPr="009E17A1" w:rsidRDefault="00E768FA" w:rsidP="00E768FA">
      <w:pPr>
        <w:pStyle w:val="Nadpis2"/>
      </w:pPr>
      <w:r w:rsidRPr="009E17A1">
        <w:t>Východiskové podklady</w:t>
      </w:r>
    </w:p>
    <w:p w:rsidR="00BA4881" w:rsidRPr="00BA4881" w:rsidRDefault="00BA4881" w:rsidP="009F4CE9">
      <w:pPr>
        <w:pStyle w:val="Odsekzoznamu"/>
        <w:numPr>
          <w:ilvl w:val="0"/>
          <w:numId w:val="3"/>
        </w:numPr>
        <w:ind w:left="284" w:hanging="284"/>
        <w:rPr>
          <w:rFonts w:cs="Arial"/>
        </w:rPr>
      </w:pPr>
      <w:r w:rsidRPr="00BA4881">
        <w:rPr>
          <w:rFonts w:cs="Arial"/>
        </w:rPr>
        <w:t xml:space="preserve">Podklady stavebnej časti projektovej dokumentácie </w:t>
      </w:r>
    </w:p>
    <w:p w:rsidR="00BA4881" w:rsidRPr="00BA4881" w:rsidRDefault="00BA4881" w:rsidP="009F4CE9">
      <w:pPr>
        <w:pStyle w:val="Odsekzoznamu"/>
        <w:numPr>
          <w:ilvl w:val="0"/>
          <w:numId w:val="3"/>
        </w:numPr>
        <w:ind w:left="284" w:hanging="284"/>
        <w:rPr>
          <w:rFonts w:cs="Arial"/>
        </w:rPr>
      </w:pPr>
      <w:r w:rsidRPr="00BA4881">
        <w:rPr>
          <w:rFonts w:cs="Arial"/>
        </w:rPr>
        <w:t xml:space="preserve">Účelová mapa v súradnicovom systéme S-JTSK, katastrálna mapa, (vypracoval </w:t>
      </w:r>
      <w:r w:rsidRPr="00BA4881">
        <w:rPr>
          <w:lang w:bidi="ar-SA"/>
        </w:rPr>
        <w:t>Dopravné staviteľstvo Bardejov s.r.o., Priemyselná 3767, 085 01 Bardejov</w:t>
      </w:r>
      <w:r w:rsidRPr="00BA4881">
        <w:rPr>
          <w:rFonts w:cs="Arial"/>
        </w:rPr>
        <w:t>) – stav k 2019</w:t>
      </w:r>
    </w:p>
    <w:p w:rsidR="00E768FA" w:rsidRPr="00BA4881" w:rsidRDefault="00E768FA" w:rsidP="009F4CE9">
      <w:pPr>
        <w:pStyle w:val="Odsekzoznamu"/>
        <w:numPr>
          <w:ilvl w:val="0"/>
          <w:numId w:val="3"/>
        </w:numPr>
        <w:ind w:left="284" w:hanging="284"/>
        <w:rPr>
          <w:rFonts w:cs="Arial"/>
        </w:rPr>
      </w:pPr>
      <w:r w:rsidRPr="00BA4881">
        <w:rPr>
          <w:rFonts w:cs="Arial"/>
        </w:rPr>
        <w:t>Osobná obhliadka skutočného stavu</w:t>
      </w:r>
    </w:p>
    <w:p w:rsidR="00E768FA" w:rsidRPr="00BA4881" w:rsidRDefault="00E768FA" w:rsidP="009F4CE9">
      <w:pPr>
        <w:pStyle w:val="Odsekzoznamu"/>
        <w:numPr>
          <w:ilvl w:val="0"/>
          <w:numId w:val="3"/>
        </w:numPr>
        <w:ind w:left="284" w:hanging="284"/>
        <w:rPr>
          <w:rFonts w:cs="Arial"/>
        </w:rPr>
      </w:pPr>
      <w:r w:rsidRPr="00BA4881">
        <w:rPr>
          <w:rFonts w:cs="Arial"/>
        </w:rPr>
        <w:t>Prejednanie PD so správcom objektu</w:t>
      </w:r>
    </w:p>
    <w:p w:rsidR="00806236" w:rsidRPr="00133DF5" w:rsidRDefault="00806236" w:rsidP="00806236">
      <w:pPr>
        <w:pStyle w:val="Nadpis2"/>
      </w:pPr>
      <w:r w:rsidRPr="00133DF5">
        <w:rPr>
          <w:rFonts w:cs="Arial"/>
          <w:lang w:bidi="ar-SA"/>
        </w:rPr>
        <w:t>P</w:t>
      </w:r>
      <w:r w:rsidRPr="00133DF5">
        <w:t>oužité normy a súvisiace právne predpisy</w:t>
      </w:r>
    </w:p>
    <w:tbl>
      <w:tblPr>
        <w:tblStyle w:val="Mriekatabuky"/>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8"/>
        <w:gridCol w:w="7224"/>
      </w:tblGrid>
      <w:tr w:rsidR="00806236" w:rsidRPr="00133DF5" w:rsidTr="00246698">
        <w:tc>
          <w:tcPr>
            <w:tcW w:w="1374" w:type="pct"/>
          </w:tcPr>
          <w:p w:rsidR="00806236" w:rsidRPr="00133DF5" w:rsidRDefault="00806236" w:rsidP="00246698">
            <w:pPr>
              <w:rPr>
                <w:sz w:val="16"/>
                <w:szCs w:val="16"/>
                <w:lang w:val="sk-SK"/>
              </w:rPr>
            </w:pPr>
            <w:r w:rsidRPr="00133DF5">
              <w:rPr>
                <w:sz w:val="16"/>
                <w:szCs w:val="16"/>
                <w:lang w:val="sk-SK"/>
              </w:rPr>
              <w:t>STN 33 2000-1:2009</w:t>
            </w:r>
          </w:p>
        </w:tc>
        <w:tc>
          <w:tcPr>
            <w:tcW w:w="3626" w:type="pct"/>
          </w:tcPr>
          <w:p w:rsidR="00806236" w:rsidRPr="00133DF5" w:rsidRDefault="00806236" w:rsidP="00246698">
            <w:pPr>
              <w:rPr>
                <w:sz w:val="16"/>
                <w:szCs w:val="16"/>
                <w:lang w:val="sk-SK"/>
              </w:rPr>
            </w:pPr>
            <w:r w:rsidRPr="00133DF5">
              <w:rPr>
                <w:rStyle w:val="formtext"/>
                <w:sz w:val="16"/>
                <w:szCs w:val="16"/>
                <w:lang w:val="sk-SK"/>
              </w:rPr>
              <w:t>Elektrické inštalácie nízkeho napätia. Časť 1: Základné princípy, stanovenie všeobecných charakteristík, definície</w:t>
            </w:r>
          </w:p>
        </w:tc>
      </w:tr>
      <w:tr w:rsidR="00806236" w:rsidRPr="00133DF5" w:rsidTr="00246698">
        <w:tc>
          <w:tcPr>
            <w:tcW w:w="1374" w:type="pct"/>
          </w:tcPr>
          <w:p w:rsidR="00806236" w:rsidRPr="00133DF5" w:rsidRDefault="00806236" w:rsidP="00246698">
            <w:pPr>
              <w:rPr>
                <w:sz w:val="16"/>
                <w:szCs w:val="16"/>
                <w:lang w:val="sk-SK"/>
              </w:rPr>
            </w:pPr>
            <w:r w:rsidRPr="00133DF5">
              <w:rPr>
                <w:sz w:val="16"/>
                <w:szCs w:val="16"/>
                <w:lang w:val="sk-SK"/>
              </w:rPr>
              <w:t>STN 33 2000-4-41:2007</w:t>
            </w:r>
          </w:p>
        </w:tc>
        <w:tc>
          <w:tcPr>
            <w:tcW w:w="3626" w:type="pct"/>
          </w:tcPr>
          <w:p w:rsidR="00806236" w:rsidRPr="00133DF5" w:rsidRDefault="00806236" w:rsidP="00246698">
            <w:pPr>
              <w:rPr>
                <w:sz w:val="16"/>
                <w:szCs w:val="16"/>
                <w:lang w:val="sk-SK"/>
              </w:rPr>
            </w:pPr>
            <w:r w:rsidRPr="00133DF5">
              <w:rPr>
                <w:sz w:val="16"/>
                <w:szCs w:val="16"/>
                <w:lang w:val="sk-SK"/>
              </w:rPr>
              <w:t>Elektrické inštalácie nízkeho napätia. Časť 4-41: Zaistenie bezpečnosti. Ochrana pred zásahom elektrickým prúdom</w:t>
            </w:r>
          </w:p>
        </w:tc>
      </w:tr>
      <w:tr w:rsidR="00806236" w:rsidRPr="00133DF5" w:rsidTr="00246698">
        <w:tc>
          <w:tcPr>
            <w:tcW w:w="1374" w:type="pct"/>
          </w:tcPr>
          <w:p w:rsidR="00806236" w:rsidRPr="00133DF5" w:rsidRDefault="00806236" w:rsidP="00246698">
            <w:pPr>
              <w:rPr>
                <w:sz w:val="16"/>
                <w:szCs w:val="16"/>
                <w:lang w:val="sk-SK"/>
              </w:rPr>
            </w:pPr>
            <w:r w:rsidRPr="00133DF5">
              <w:rPr>
                <w:sz w:val="16"/>
                <w:szCs w:val="16"/>
                <w:lang w:val="sk-SK"/>
              </w:rPr>
              <w:t>STN 33 2000-4-42:2012</w:t>
            </w:r>
          </w:p>
        </w:tc>
        <w:tc>
          <w:tcPr>
            <w:tcW w:w="3626" w:type="pct"/>
          </w:tcPr>
          <w:p w:rsidR="00806236" w:rsidRPr="00133DF5" w:rsidRDefault="00806236" w:rsidP="00246698">
            <w:pPr>
              <w:rPr>
                <w:sz w:val="16"/>
                <w:szCs w:val="16"/>
                <w:lang w:val="sk-SK"/>
              </w:rPr>
            </w:pPr>
            <w:r w:rsidRPr="00133DF5">
              <w:rPr>
                <w:rStyle w:val="formtext"/>
                <w:sz w:val="16"/>
                <w:szCs w:val="16"/>
                <w:lang w:val="sk-SK"/>
              </w:rPr>
              <w:t>Elektrické inštalácie nízkeho napätia. Časť 4-42: Zaistenie bezpečnosti. Ochrana pred účinkami tepla</w:t>
            </w:r>
          </w:p>
        </w:tc>
      </w:tr>
      <w:tr w:rsidR="00806236" w:rsidRPr="00133DF5" w:rsidTr="00246698">
        <w:tc>
          <w:tcPr>
            <w:tcW w:w="1374" w:type="pct"/>
          </w:tcPr>
          <w:p w:rsidR="00806236" w:rsidRPr="00133DF5" w:rsidRDefault="00806236" w:rsidP="00246698">
            <w:pPr>
              <w:rPr>
                <w:sz w:val="16"/>
                <w:szCs w:val="16"/>
                <w:lang w:val="sk-SK"/>
              </w:rPr>
            </w:pPr>
            <w:r w:rsidRPr="00133DF5">
              <w:rPr>
                <w:sz w:val="16"/>
                <w:szCs w:val="16"/>
                <w:lang w:val="sk-SK"/>
              </w:rPr>
              <w:t>STN 33 2000-4-43:2010</w:t>
            </w:r>
          </w:p>
        </w:tc>
        <w:tc>
          <w:tcPr>
            <w:tcW w:w="3626" w:type="pct"/>
          </w:tcPr>
          <w:p w:rsidR="00806236" w:rsidRPr="00133DF5" w:rsidRDefault="00806236" w:rsidP="00246698">
            <w:pPr>
              <w:rPr>
                <w:sz w:val="16"/>
                <w:szCs w:val="16"/>
                <w:lang w:val="sk-SK"/>
              </w:rPr>
            </w:pPr>
            <w:r w:rsidRPr="00133DF5">
              <w:rPr>
                <w:sz w:val="16"/>
                <w:szCs w:val="16"/>
                <w:lang w:val="sk-SK"/>
              </w:rPr>
              <w:t>Elektrické inštalácie nízkeho napätia. Časť 4-43: Zaistenie bezpečnosti. Ochrana pred nadprúdom</w:t>
            </w:r>
          </w:p>
        </w:tc>
      </w:tr>
      <w:tr w:rsidR="00806236" w:rsidRPr="00133DF5" w:rsidTr="00246698">
        <w:tc>
          <w:tcPr>
            <w:tcW w:w="1374" w:type="pct"/>
          </w:tcPr>
          <w:p w:rsidR="00806236" w:rsidRPr="00133DF5" w:rsidRDefault="00806236" w:rsidP="00246698">
            <w:pPr>
              <w:rPr>
                <w:sz w:val="16"/>
                <w:szCs w:val="16"/>
                <w:lang w:val="sk-SK"/>
              </w:rPr>
            </w:pPr>
            <w:r w:rsidRPr="00133DF5">
              <w:rPr>
                <w:sz w:val="16"/>
                <w:szCs w:val="16"/>
                <w:lang w:val="sk-SK"/>
              </w:rPr>
              <w:t>STN 33 2000-4-442:2013</w:t>
            </w:r>
          </w:p>
        </w:tc>
        <w:tc>
          <w:tcPr>
            <w:tcW w:w="3626" w:type="pct"/>
          </w:tcPr>
          <w:p w:rsidR="00806236" w:rsidRPr="00133DF5" w:rsidRDefault="00806236" w:rsidP="00246698">
            <w:pPr>
              <w:rPr>
                <w:sz w:val="16"/>
                <w:szCs w:val="16"/>
                <w:lang w:val="sk-SK"/>
              </w:rPr>
            </w:pPr>
            <w:r w:rsidRPr="00133DF5">
              <w:rPr>
                <w:sz w:val="16"/>
                <w:szCs w:val="16"/>
                <w:lang w:val="sk-SK"/>
              </w:rPr>
              <w:t>Elektrické inštalácie nízkeho napätia. Časť 4-442: Zaistenie bezpečnosti. Ochrana elektrických inštalácií nízkeho napätia pred dočasnými prepätiami v dôsledku zemných spojení v sieťach vysokého napätia a v dôsledku porúch v sieťach nízkeho napätia</w:t>
            </w:r>
          </w:p>
        </w:tc>
      </w:tr>
      <w:tr w:rsidR="00806236" w:rsidRPr="00133DF5" w:rsidTr="00246698">
        <w:tc>
          <w:tcPr>
            <w:tcW w:w="1374" w:type="pct"/>
          </w:tcPr>
          <w:p w:rsidR="00806236" w:rsidRPr="00133DF5" w:rsidRDefault="00806236" w:rsidP="00246698">
            <w:pPr>
              <w:rPr>
                <w:sz w:val="16"/>
                <w:szCs w:val="16"/>
                <w:lang w:val="sk-SK"/>
              </w:rPr>
            </w:pPr>
            <w:r w:rsidRPr="00133DF5">
              <w:rPr>
                <w:sz w:val="16"/>
                <w:szCs w:val="16"/>
                <w:lang w:val="sk-SK"/>
              </w:rPr>
              <w:t>STN 33 2000-4-443:2007</w:t>
            </w:r>
          </w:p>
        </w:tc>
        <w:tc>
          <w:tcPr>
            <w:tcW w:w="3626" w:type="pct"/>
          </w:tcPr>
          <w:p w:rsidR="00806236" w:rsidRPr="00133DF5" w:rsidRDefault="00806236" w:rsidP="00246698">
            <w:pPr>
              <w:rPr>
                <w:sz w:val="16"/>
                <w:szCs w:val="16"/>
                <w:lang w:val="sk-SK"/>
              </w:rPr>
            </w:pPr>
            <w:r w:rsidRPr="00133DF5">
              <w:rPr>
                <w:sz w:val="16"/>
                <w:szCs w:val="16"/>
                <w:lang w:val="sk-SK"/>
              </w:rPr>
              <w:t>Elektrické inštalácie budov. Časť 4-44: Zaistenie bezpečnosti. Ochrana pred rušivými napätiami a elektromagnetickým rušením. Oddiel 443: Ochrana pred prepätiami atmosférického pôvodu a pred spínacími prepätiami</w:t>
            </w:r>
          </w:p>
        </w:tc>
      </w:tr>
      <w:tr w:rsidR="00806236" w:rsidRPr="00133DF5" w:rsidTr="00246698">
        <w:tc>
          <w:tcPr>
            <w:tcW w:w="1374" w:type="pct"/>
          </w:tcPr>
          <w:p w:rsidR="00806236" w:rsidRPr="00133DF5" w:rsidRDefault="00806236" w:rsidP="00246698">
            <w:pPr>
              <w:rPr>
                <w:sz w:val="16"/>
                <w:szCs w:val="16"/>
                <w:lang w:val="sk-SK"/>
              </w:rPr>
            </w:pPr>
            <w:r w:rsidRPr="00133DF5">
              <w:rPr>
                <w:sz w:val="16"/>
                <w:szCs w:val="16"/>
                <w:lang w:val="sk-SK"/>
              </w:rPr>
              <w:t>STN 33 2000-5-51:2010</w:t>
            </w:r>
          </w:p>
        </w:tc>
        <w:tc>
          <w:tcPr>
            <w:tcW w:w="3626" w:type="pct"/>
          </w:tcPr>
          <w:p w:rsidR="00806236" w:rsidRPr="00133DF5" w:rsidRDefault="00806236" w:rsidP="00246698">
            <w:pPr>
              <w:rPr>
                <w:sz w:val="16"/>
                <w:szCs w:val="16"/>
                <w:lang w:val="sk-SK"/>
              </w:rPr>
            </w:pPr>
            <w:r w:rsidRPr="00133DF5">
              <w:rPr>
                <w:sz w:val="16"/>
                <w:szCs w:val="16"/>
                <w:lang w:val="sk-SK"/>
              </w:rPr>
              <w:t>Elektrické inštalácie budov. Časť 5-51: Výber a stavba elektrických zariadení. Spoločné pravidlá</w:t>
            </w:r>
          </w:p>
        </w:tc>
      </w:tr>
      <w:tr w:rsidR="00806236" w:rsidRPr="00133DF5" w:rsidTr="00246698">
        <w:tc>
          <w:tcPr>
            <w:tcW w:w="1374" w:type="pct"/>
          </w:tcPr>
          <w:p w:rsidR="00806236" w:rsidRPr="00133DF5" w:rsidRDefault="00806236" w:rsidP="00246698">
            <w:pPr>
              <w:rPr>
                <w:sz w:val="16"/>
                <w:szCs w:val="16"/>
                <w:lang w:val="sk-SK"/>
              </w:rPr>
            </w:pPr>
            <w:r w:rsidRPr="00133DF5">
              <w:rPr>
                <w:sz w:val="16"/>
                <w:szCs w:val="16"/>
                <w:lang w:val="sk-SK"/>
              </w:rPr>
              <w:t>STN 33 2000-5-52:2012</w:t>
            </w:r>
          </w:p>
        </w:tc>
        <w:tc>
          <w:tcPr>
            <w:tcW w:w="3626" w:type="pct"/>
          </w:tcPr>
          <w:p w:rsidR="00806236" w:rsidRPr="00133DF5" w:rsidRDefault="00806236" w:rsidP="00246698">
            <w:pPr>
              <w:rPr>
                <w:sz w:val="16"/>
                <w:szCs w:val="16"/>
                <w:lang w:val="sk-SK"/>
              </w:rPr>
            </w:pPr>
            <w:r w:rsidRPr="00133DF5">
              <w:rPr>
                <w:sz w:val="16"/>
                <w:szCs w:val="16"/>
                <w:lang w:val="sk-SK"/>
              </w:rPr>
              <w:t>Elektrické inštalácie nízkeho napätia. Časť 5-52: Výber a stavba elektrických zariadení. Elektrické rozvody</w:t>
            </w:r>
          </w:p>
        </w:tc>
      </w:tr>
      <w:tr w:rsidR="00806236" w:rsidRPr="00133DF5" w:rsidTr="00246698">
        <w:tc>
          <w:tcPr>
            <w:tcW w:w="1374" w:type="pct"/>
          </w:tcPr>
          <w:p w:rsidR="00806236" w:rsidRPr="00133DF5" w:rsidRDefault="00806236" w:rsidP="00246698">
            <w:pPr>
              <w:rPr>
                <w:sz w:val="16"/>
                <w:szCs w:val="16"/>
                <w:lang w:val="sk-SK"/>
              </w:rPr>
            </w:pPr>
            <w:r w:rsidRPr="00133DF5">
              <w:rPr>
                <w:sz w:val="16"/>
                <w:szCs w:val="16"/>
                <w:lang w:val="sk-SK"/>
              </w:rPr>
              <w:t>STN 33 2000-5-534:2009</w:t>
            </w:r>
          </w:p>
        </w:tc>
        <w:tc>
          <w:tcPr>
            <w:tcW w:w="3626" w:type="pct"/>
          </w:tcPr>
          <w:p w:rsidR="00806236" w:rsidRPr="00133DF5" w:rsidRDefault="00806236" w:rsidP="00246698">
            <w:pPr>
              <w:rPr>
                <w:sz w:val="16"/>
                <w:szCs w:val="16"/>
                <w:lang w:val="sk-SK"/>
              </w:rPr>
            </w:pPr>
            <w:r w:rsidRPr="00133DF5">
              <w:rPr>
                <w:sz w:val="16"/>
                <w:szCs w:val="16"/>
                <w:lang w:val="sk-SK"/>
              </w:rPr>
              <w:t>Elektrické inštalácie nízkeho napätia. Časť 5-53: Výber a stavba elektrických zariadení. Bezpečné odpojenie, spínanie a ovládanie. Oddiel 534: Prístroje na ochranu pred prepätiami</w:t>
            </w:r>
          </w:p>
        </w:tc>
      </w:tr>
      <w:tr w:rsidR="00806236" w:rsidRPr="00133DF5" w:rsidTr="00246698">
        <w:tc>
          <w:tcPr>
            <w:tcW w:w="1374" w:type="pct"/>
          </w:tcPr>
          <w:p w:rsidR="00806236" w:rsidRPr="00133DF5" w:rsidRDefault="00806236" w:rsidP="00246698">
            <w:pPr>
              <w:rPr>
                <w:sz w:val="16"/>
                <w:szCs w:val="16"/>
                <w:lang w:val="sk-SK"/>
              </w:rPr>
            </w:pPr>
            <w:r w:rsidRPr="00133DF5">
              <w:rPr>
                <w:sz w:val="16"/>
                <w:szCs w:val="16"/>
                <w:lang w:val="sk-SK"/>
              </w:rPr>
              <w:t>STN 33 2000-5-54:2012</w:t>
            </w:r>
          </w:p>
        </w:tc>
        <w:tc>
          <w:tcPr>
            <w:tcW w:w="3626" w:type="pct"/>
          </w:tcPr>
          <w:p w:rsidR="00806236" w:rsidRPr="00133DF5" w:rsidRDefault="00806236" w:rsidP="00246698">
            <w:pPr>
              <w:rPr>
                <w:sz w:val="16"/>
                <w:szCs w:val="16"/>
                <w:lang w:val="sk-SK"/>
              </w:rPr>
            </w:pPr>
            <w:r w:rsidRPr="00133DF5">
              <w:rPr>
                <w:sz w:val="16"/>
                <w:szCs w:val="16"/>
                <w:lang w:val="sk-SK"/>
              </w:rPr>
              <w:t>Elektrické inštalácie nízkeho napätia. Časť 5-54: Výber a stavba elektrických zariadení. Uzemňovacie sústavy a ochranné vodiče</w:t>
            </w:r>
          </w:p>
        </w:tc>
      </w:tr>
      <w:tr w:rsidR="00806236" w:rsidRPr="00133DF5" w:rsidTr="00246698">
        <w:tc>
          <w:tcPr>
            <w:tcW w:w="1374" w:type="pct"/>
          </w:tcPr>
          <w:p w:rsidR="00806236" w:rsidRPr="00133DF5" w:rsidRDefault="00806236" w:rsidP="00246698">
            <w:pPr>
              <w:rPr>
                <w:sz w:val="16"/>
                <w:szCs w:val="16"/>
                <w:lang w:val="sk-SK"/>
              </w:rPr>
            </w:pPr>
          </w:p>
        </w:tc>
        <w:tc>
          <w:tcPr>
            <w:tcW w:w="3626" w:type="pct"/>
          </w:tcPr>
          <w:p w:rsidR="00806236" w:rsidRPr="00133DF5" w:rsidRDefault="00806236" w:rsidP="00246698">
            <w:pPr>
              <w:rPr>
                <w:sz w:val="16"/>
                <w:szCs w:val="16"/>
                <w:lang w:val="sk-SK"/>
              </w:rPr>
            </w:pPr>
          </w:p>
        </w:tc>
      </w:tr>
      <w:tr w:rsidR="00806236" w:rsidRPr="00133DF5" w:rsidTr="00246698">
        <w:tc>
          <w:tcPr>
            <w:tcW w:w="1374" w:type="pct"/>
          </w:tcPr>
          <w:p w:rsidR="00806236" w:rsidRPr="00133DF5" w:rsidRDefault="00806236" w:rsidP="00246698">
            <w:pPr>
              <w:rPr>
                <w:sz w:val="16"/>
                <w:szCs w:val="16"/>
                <w:lang w:val="sk-SK"/>
              </w:rPr>
            </w:pPr>
            <w:r w:rsidRPr="00133DF5">
              <w:rPr>
                <w:sz w:val="16"/>
                <w:szCs w:val="16"/>
                <w:lang w:val="sk-SK"/>
              </w:rPr>
              <w:t>STN 33 3300:1983</w:t>
            </w:r>
          </w:p>
        </w:tc>
        <w:tc>
          <w:tcPr>
            <w:tcW w:w="3626" w:type="pct"/>
          </w:tcPr>
          <w:p w:rsidR="00806236" w:rsidRPr="00133DF5" w:rsidRDefault="00806236" w:rsidP="00246698">
            <w:pPr>
              <w:rPr>
                <w:sz w:val="16"/>
                <w:szCs w:val="16"/>
                <w:lang w:val="sk-SK"/>
              </w:rPr>
            </w:pPr>
            <w:r w:rsidRPr="00133DF5">
              <w:rPr>
                <w:sz w:val="16"/>
                <w:szCs w:val="16"/>
                <w:lang w:val="sk-SK"/>
              </w:rPr>
              <w:t>Elektrotechnické predpisy. Stavba vonkajších silových vedení</w:t>
            </w:r>
          </w:p>
        </w:tc>
      </w:tr>
      <w:tr w:rsidR="00806236" w:rsidRPr="00133DF5" w:rsidTr="00246698">
        <w:tc>
          <w:tcPr>
            <w:tcW w:w="1374" w:type="pct"/>
          </w:tcPr>
          <w:p w:rsidR="00806236" w:rsidRPr="00133DF5" w:rsidRDefault="00806236" w:rsidP="00246698">
            <w:pPr>
              <w:rPr>
                <w:sz w:val="16"/>
                <w:szCs w:val="16"/>
                <w:lang w:val="sk-SK"/>
              </w:rPr>
            </w:pPr>
            <w:r w:rsidRPr="00133DF5">
              <w:rPr>
                <w:sz w:val="16"/>
                <w:szCs w:val="16"/>
                <w:lang w:val="sk-SK"/>
              </w:rPr>
              <w:t>STN 33 3310:1986</w:t>
            </w:r>
          </w:p>
        </w:tc>
        <w:tc>
          <w:tcPr>
            <w:tcW w:w="3626" w:type="pct"/>
          </w:tcPr>
          <w:p w:rsidR="00806236" w:rsidRPr="00133DF5" w:rsidRDefault="00806236" w:rsidP="00246698">
            <w:pPr>
              <w:rPr>
                <w:sz w:val="16"/>
                <w:szCs w:val="16"/>
                <w:lang w:val="sk-SK"/>
              </w:rPr>
            </w:pPr>
            <w:r w:rsidRPr="00133DF5">
              <w:rPr>
                <w:sz w:val="16"/>
                <w:szCs w:val="16"/>
                <w:lang w:val="sk-SK"/>
              </w:rPr>
              <w:t>Elektrotechnické predpisy. Rozvodné zariadenia. Spoločné ustanovenia</w:t>
            </w:r>
          </w:p>
        </w:tc>
      </w:tr>
      <w:tr w:rsidR="00806236" w:rsidRPr="00133DF5" w:rsidTr="00246698">
        <w:tc>
          <w:tcPr>
            <w:tcW w:w="1374" w:type="pct"/>
          </w:tcPr>
          <w:p w:rsidR="00806236" w:rsidRPr="00133DF5" w:rsidRDefault="00806236" w:rsidP="00246698">
            <w:pPr>
              <w:rPr>
                <w:sz w:val="16"/>
                <w:szCs w:val="16"/>
                <w:lang w:val="sk-SK"/>
              </w:rPr>
            </w:pPr>
            <w:r w:rsidRPr="00133DF5">
              <w:rPr>
                <w:sz w:val="16"/>
                <w:szCs w:val="16"/>
                <w:lang w:val="sk-SK"/>
              </w:rPr>
              <w:t>STN 34 1610:1963</w:t>
            </w:r>
          </w:p>
        </w:tc>
        <w:tc>
          <w:tcPr>
            <w:tcW w:w="3626" w:type="pct"/>
          </w:tcPr>
          <w:p w:rsidR="00806236" w:rsidRPr="00133DF5" w:rsidRDefault="00806236" w:rsidP="00246698">
            <w:pPr>
              <w:rPr>
                <w:sz w:val="16"/>
                <w:szCs w:val="16"/>
                <w:lang w:val="sk-SK"/>
              </w:rPr>
            </w:pPr>
            <w:r w:rsidRPr="00133DF5">
              <w:rPr>
                <w:sz w:val="16"/>
                <w:szCs w:val="16"/>
                <w:lang w:val="sk-SK"/>
              </w:rPr>
              <w:t>Elektrotechnické predpisy STN. Elektrický silnoprúdový rozvod v priemyselných prevádzkach</w:t>
            </w:r>
          </w:p>
        </w:tc>
      </w:tr>
      <w:tr w:rsidR="00806236" w:rsidRPr="00133DF5" w:rsidTr="00246698">
        <w:tc>
          <w:tcPr>
            <w:tcW w:w="1374" w:type="pct"/>
          </w:tcPr>
          <w:p w:rsidR="00806236" w:rsidRPr="00133DF5" w:rsidRDefault="00806236" w:rsidP="00246698">
            <w:pPr>
              <w:rPr>
                <w:sz w:val="16"/>
                <w:szCs w:val="16"/>
                <w:lang w:val="sk-SK"/>
              </w:rPr>
            </w:pPr>
            <w:r w:rsidRPr="00133DF5">
              <w:rPr>
                <w:sz w:val="16"/>
                <w:szCs w:val="16"/>
                <w:lang w:val="sk-SK"/>
              </w:rPr>
              <w:lastRenderedPageBreak/>
              <w:t>STN 34 1050:1970</w:t>
            </w:r>
          </w:p>
        </w:tc>
        <w:tc>
          <w:tcPr>
            <w:tcW w:w="3626" w:type="pct"/>
          </w:tcPr>
          <w:p w:rsidR="00806236" w:rsidRPr="00133DF5" w:rsidRDefault="00806236" w:rsidP="00246698">
            <w:pPr>
              <w:rPr>
                <w:sz w:val="16"/>
                <w:szCs w:val="16"/>
                <w:lang w:val="sk-SK"/>
              </w:rPr>
            </w:pPr>
            <w:r w:rsidRPr="00133DF5">
              <w:rPr>
                <w:rStyle w:val="formtext"/>
                <w:sz w:val="16"/>
                <w:szCs w:val="16"/>
                <w:lang w:val="sk-SK"/>
              </w:rPr>
              <w:t>Elektrotechnické predpisy STN. Predpisy pre kladenie silnoprúdových elektrických vedení</w:t>
            </w:r>
          </w:p>
        </w:tc>
      </w:tr>
      <w:tr w:rsidR="00806236" w:rsidRPr="00133DF5" w:rsidTr="00246698">
        <w:tc>
          <w:tcPr>
            <w:tcW w:w="1374" w:type="pct"/>
          </w:tcPr>
          <w:p w:rsidR="00806236" w:rsidRPr="00133DF5" w:rsidRDefault="00806236" w:rsidP="00246698">
            <w:pPr>
              <w:rPr>
                <w:sz w:val="16"/>
                <w:szCs w:val="16"/>
                <w:lang w:val="sk-SK"/>
              </w:rPr>
            </w:pPr>
            <w:r w:rsidRPr="00133DF5">
              <w:rPr>
                <w:sz w:val="16"/>
                <w:szCs w:val="16"/>
                <w:lang w:val="sk-SK"/>
              </w:rPr>
              <w:t>STN 34 3100:2001</w:t>
            </w:r>
          </w:p>
        </w:tc>
        <w:tc>
          <w:tcPr>
            <w:tcW w:w="3626" w:type="pct"/>
          </w:tcPr>
          <w:p w:rsidR="00806236" w:rsidRPr="00133DF5" w:rsidRDefault="00806236" w:rsidP="00246698">
            <w:pPr>
              <w:rPr>
                <w:sz w:val="16"/>
                <w:szCs w:val="16"/>
                <w:lang w:val="sk-SK"/>
              </w:rPr>
            </w:pPr>
            <w:r w:rsidRPr="00133DF5">
              <w:rPr>
                <w:rStyle w:val="formtext"/>
                <w:sz w:val="16"/>
                <w:szCs w:val="16"/>
                <w:lang w:val="sk-SK"/>
              </w:rPr>
              <w:t>Bezpečnostné požiadavky na obsluhu a prácu na elektrických inštaláciách</w:t>
            </w:r>
          </w:p>
        </w:tc>
      </w:tr>
      <w:tr w:rsidR="00806236" w:rsidRPr="00133DF5" w:rsidTr="00246698">
        <w:tc>
          <w:tcPr>
            <w:tcW w:w="1374" w:type="pct"/>
          </w:tcPr>
          <w:p w:rsidR="00806236" w:rsidRPr="00133DF5" w:rsidRDefault="00806236" w:rsidP="00246698">
            <w:pPr>
              <w:rPr>
                <w:sz w:val="16"/>
                <w:szCs w:val="16"/>
                <w:lang w:val="sk-SK"/>
              </w:rPr>
            </w:pPr>
            <w:r w:rsidRPr="00133DF5">
              <w:rPr>
                <w:sz w:val="16"/>
                <w:szCs w:val="16"/>
                <w:lang w:val="sk-SK"/>
              </w:rPr>
              <w:t>STN 34 3101:1987</w:t>
            </w:r>
          </w:p>
        </w:tc>
        <w:tc>
          <w:tcPr>
            <w:tcW w:w="3626" w:type="pct"/>
          </w:tcPr>
          <w:p w:rsidR="00806236" w:rsidRPr="00133DF5" w:rsidRDefault="00806236" w:rsidP="00246698">
            <w:pPr>
              <w:rPr>
                <w:sz w:val="16"/>
                <w:szCs w:val="16"/>
                <w:lang w:val="sk-SK"/>
              </w:rPr>
            </w:pPr>
            <w:r w:rsidRPr="00133DF5">
              <w:rPr>
                <w:rStyle w:val="formtext"/>
                <w:sz w:val="16"/>
                <w:szCs w:val="16"/>
                <w:lang w:val="sk-SK"/>
              </w:rPr>
              <w:t>Elektrotechnické predpisy. Bezpečnostné požiadavky na obsluhu a prácu na elektrických vedeniach</w:t>
            </w:r>
          </w:p>
        </w:tc>
      </w:tr>
      <w:tr w:rsidR="00806236" w:rsidRPr="00133DF5" w:rsidTr="00246698">
        <w:tc>
          <w:tcPr>
            <w:tcW w:w="1374" w:type="pct"/>
          </w:tcPr>
          <w:p w:rsidR="00806236" w:rsidRPr="00133DF5" w:rsidRDefault="00806236" w:rsidP="00246698">
            <w:pPr>
              <w:rPr>
                <w:sz w:val="16"/>
                <w:szCs w:val="16"/>
                <w:lang w:val="sk-SK"/>
              </w:rPr>
            </w:pPr>
          </w:p>
        </w:tc>
        <w:tc>
          <w:tcPr>
            <w:tcW w:w="3626" w:type="pct"/>
          </w:tcPr>
          <w:p w:rsidR="00806236" w:rsidRPr="00133DF5" w:rsidRDefault="00806236" w:rsidP="00246698">
            <w:pPr>
              <w:rPr>
                <w:sz w:val="16"/>
                <w:szCs w:val="16"/>
                <w:lang w:val="sk-SK"/>
              </w:rPr>
            </w:pPr>
          </w:p>
        </w:tc>
      </w:tr>
      <w:tr w:rsidR="00806236" w:rsidRPr="00133DF5" w:rsidTr="00246698">
        <w:tc>
          <w:tcPr>
            <w:tcW w:w="1374" w:type="pct"/>
          </w:tcPr>
          <w:p w:rsidR="00806236" w:rsidRPr="00133DF5" w:rsidRDefault="00806236" w:rsidP="00246698">
            <w:pPr>
              <w:rPr>
                <w:sz w:val="16"/>
                <w:szCs w:val="16"/>
                <w:lang w:val="sk-SK"/>
              </w:rPr>
            </w:pPr>
            <w:r w:rsidRPr="00133DF5">
              <w:rPr>
                <w:sz w:val="16"/>
                <w:szCs w:val="16"/>
                <w:lang w:val="sk-SK"/>
              </w:rPr>
              <w:t>STN 73 3050:1986</w:t>
            </w:r>
          </w:p>
        </w:tc>
        <w:tc>
          <w:tcPr>
            <w:tcW w:w="3626" w:type="pct"/>
          </w:tcPr>
          <w:p w:rsidR="00806236" w:rsidRPr="00133DF5" w:rsidRDefault="00806236" w:rsidP="00246698">
            <w:pPr>
              <w:rPr>
                <w:sz w:val="16"/>
                <w:szCs w:val="16"/>
                <w:lang w:val="sk-SK"/>
              </w:rPr>
            </w:pPr>
            <w:r w:rsidRPr="00133DF5">
              <w:rPr>
                <w:rStyle w:val="formtext"/>
                <w:sz w:val="16"/>
                <w:szCs w:val="16"/>
                <w:lang w:val="sk-SK"/>
              </w:rPr>
              <w:t>Zemné práce. Všeobecné ustanovenia</w:t>
            </w:r>
          </w:p>
        </w:tc>
      </w:tr>
      <w:tr w:rsidR="00806236" w:rsidRPr="00133DF5" w:rsidTr="00246698">
        <w:tc>
          <w:tcPr>
            <w:tcW w:w="1374" w:type="pct"/>
          </w:tcPr>
          <w:p w:rsidR="00806236" w:rsidRPr="00133DF5" w:rsidRDefault="00806236" w:rsidP="00246698">
            <w:pPr>
              <w:rPr>
                <w:sz w:val="16"/>
                <w:szCs w:val="16"/>
                <w:lang w:val="sk-SK"/>
              </w:rPr>
            </w:pPr>
            <w:r w:rsidRPr="00133DF5">
              <w:rPr>
                <w:sz w:val="16"/>
                <w:szCs w:val="16"/>
                <w:lang w:val="sk-SK"/>
              </w:rPr>
              <w:t>STN 73 6005:1985</w:t>
            </w:r>
          </w:p>
        </w:tc>
        <w:tc>
          <w:tcPr>
            <w:tcW w:w="3626" w:type="pct"/>
          </w:tcPr>
          <w:p w:rsidR="00806236" w:rsidRPr="00133DF5" w:rsidRDefault="00806236" w:rsidP="00246698">
            <w:pPr>
              <w:rPr>
                <w:sz w:val="16"/>
                <w:szCs w:val="16"/>
                <w:lang w:val="sk-SK"/>
              </w:rPr>
            </w:pPr>
            <w:r w:rsidRPr="00133DF5">
              <w:rPr>
                <w:rStyle w:val="formtext"/>
                <w:sz w:val="16"/>
                <w:szCs w:val="16"/>
                <w:lang w:val="sk-SK"/>
              </w:rPr>
              <w:t>Priestorová úprava vedení technického vybavenia</w:t>
            </w:r>
          </w:p>
        </w:tc>
      </w:tr>
      <w:tr w:rsidR="00806236" w:rsidRPr="00133DF5" w:rsidTr="00246698">
        <w:tc>
          <w:tcPr>
            <w:tcW w:w="1374" w:type="pct"/>
          </w:tcPr>
          <w:p w:rsidR="00806236" w:rsidRPr="00133DF5" w:rsidRDefault="00806236" w:rsidP="00246698">
            <w:pPr>
              <w:rPr>
                <w:sz w:val="16"/>
                <w:szCs w:val="16"/>
                <w:lang w:val="sk-SK"/>
              </w:rPr>
            </w:pPr>
          </w:p>
        </w:tc>
        <w:tc>
          <w:tcPr>
            <w:tcW w:w="3626" w:type="pct"/>
          </w:tcPr>
          <w:p w:rsidR="00806236" w:rsidRPr="00133DF5" w:rsidRDefault="00806236" w:rsidP="00246698">
            <w:pPr>
              <w:rPr>
                <w:rStyle w:val="formtext"/>
                <w:sz w:val="16"/>
                <w:szCs w:val="16"/>
                <w:lang w:val="sk-SK"/>
              </w:rPr>
            </w:pPr>
          </w:p>
        </w:tc>
      </w:tr>
      <w:tr w:rsidR="00806236" w:rsidRPr="00133DF5" w:rsidTr="00246698">
        <w:tc>
          <w:tcPr>
            <w:tcW w:w="1374" w:type="pct"/>
          </w:tcPr>
          <w:p w:rsidR="00806236" w:rsidRPr="00133DF5" w:rsidRDefault="00806236" w:rsidP="00246698">
            <w:pPr>
              <w:jc w:val="left"/>
              <w:rPr>
                <w:sz w:val="16"/>
                <w:szCs w:val="16"/>
                <w:lang w:val="sk-SK"/>
              </w:rPr>
            </w:pPr>
            <w:r w:rsidRPr="00133DF5">
              <w:rPr>
                <w:sz w:val="16"/>
                <w:szCs w:val="16"/>
                <w:lang w:val="sk-SK"/>
              </w:rPr>
              <w:t>STN EN 60865-1:2012</w:t>
            </w:r>
          </w:p>
        </w:tc>
        <w:tc>
          <w:tcPr>
            <w:tcW w:w="3626" w:type="pct"/>
          </w:tcPr>
          <w:p w:rsidR="00806236" w:rsidRPr="00133DF5" w:rsidRDefault="00806236" w:rsidP="00246698">
            <w:pPr>
              <w:jc w:val="left"/>
              <w:rPr>
                <w:sz w:val="16"/>
                <w:szCs w:val="16"/>
                <w:lang w:val="sk-SK"/>
              </w:rPr>
            </w:pPr>
            <w:r w:rsidRPr="00133DF5">
              <w:rPr>
                <w:rStyle w:val="formtext"/>
                <w:sz w:val="16"/>
                <w:szCs w:val="16"/>
                <w:lang w:val="sk-SK"/>
              </w:rPr>
              <w:t>Skratové prúdy. Výpočet účinkov. Časť 1: Definície a výpočtové metódy</w:t>
            </w:r>
          </w:p>
        </w:tc>
      </w:tr>
      <w:tr w:rsidR="00806236" w:rsidRPr="00133DF5" w:rsidTr="00246698">
        <w:tc>
          <w:tcPr>
            <w:tcW w:w="1374" w:type="pct"/>
          </w:tcPr>
          <w:p w:rsidR="00806236" w:rsidRPr="00133DF5" w:rsidRDefault="00806236" w:rsidP="00246698">
            <w:pPr>
              <w:jc w:val="left"/>
              <w:rPr>
                <w:sz w:val="16"/>
                <w:szCs w:val="16"/>
                <w:lang w:val="sk-SK"/>
              </w:rPr>
            </w:pPr>
            <w:r w:rsidRPr="00133DF5">
              <w:rPr>
                <w:sz w:val="16"/>
                <w:szCs w:val="16"/>
                <w:lang w:val="sk-SK"/>
              </w:rPr>
              <w:t>STN EN 60909-0:2003</w:t>
            </w:r>
          </w:p>
        </w:tc>
        <w:tc>
          <w:tcPr>
            <w:tcW w:w="3626" w:type="pct"/>
          </w:tcPr>
          <w:p w:rsidR="00806236" w:rsidRPr="00133DF5" w:rsidRDefault="00806236" w:rsidP="00246698">
            <w:pPr>
              <w:jc w:val="left"/>
              <w:rPr>
                <w:sz w:val="16"/>
                <w:szCs w:val="16"/>
                <w:lang w:val="sk-SK"/>
              </w:rPr>
            </w:pPr>
            <w:r w:rsidRPr="00133DF5">
              <w:rPr>
                <w:rStyle w:val="formtext"/>
                <w:sz w:val="16"/>
                <w:szCs w:val="16"/>
                <w:lang w:val="sk-SK"/>
              </w:rPr>
              <w:t>Skratové prúdy v trojfázových striedavých sústavách. Časť 0: Výpočet prúdov</w:t>
            </w:r>
          </w:p>
        </w:tc>
      </w:tr>
      <w:tr w:rsidR="00806236" w:rsidRPr="00133DF5" w:rsidTr="00246698">
        <w:tc>
          <w:tcPr>
            <w:tcW w:w="1374" w:type="pct"/>
          </w:tcPr>
          <w:p w:rsidR="00806236" w:rsidRPr="00133DF5" w:rsidRDefault="00806236" w:rsidP="00246698">
            <w:pPr>
              <w:rPr>
                <w:sz w:val="16"/>
                <w:szCs w:val="16"/>
                <w:lang w:val="sk-SK"/>
              </w:rPr>
            </w:pPr>
          </w:p>
        </w:tc>
        <w:tc>
          <w:tcPr>
            <w:tcW w:w="3626" w:type="pct"/>
          </w:tcPr>
          <w:p w:rsidR="00806236" w:rsidRPr="00133DF5" w:rsidRDefault="00806236" w:rsidP="00246698">
            <w:pPr>
              <w:rPr>
                <w:rStyle w:val="formtext"/>
                <w:sz w:val="16"/>
                <w:szCs w:val="16"/>
                <w:lang w:val="sk-SK"/>
              </w:rPr>
            </w:pPr>
          </w:p>
        </w:tc>
      </w:tr>
      <w:tr w:rsidR="00806236" w:rsidRPr="00133DF5" w:rsidTr="00246698">
        <w:tc>
          <w:tcPr>
            <w:tcW w:w="1374" w:type="pct"/>
          </w:tcPr>
          <w:p w:rsidR="00806236" w:rsidRPr="007857CD" w:rsidRDefault="00806236" w:rsidP="00246698">
            <w:pPr>
              <w:jc w:val="left"/>
              <w:rPr>
                <w:sz w:val="16"/>
                <w:szCs w:val="16"/>
                <w:lang w:val="sk-SK"/>
              </w:rPr>
            </w:pPr>
            <w:r w:rsidRPr="007857CD">
              <w:rPr>
                <w:sz w:val="16"/>
                <w:szCs w:val="16"/>
                <w:lang w:val="sk-SK"/>
              </w:rPr>
              <w:t>STN EN 12665:2012</w:t>
            </w:r>
          </w:p>
        </w:tc>
        <w:tc>
          <w:tcPr>
            <w:tcW w:w="3626" w:type="pct"/>
          </w:tcPr>
          <w:p w:rsidR="00806236" w:rsidRPr="007857CD" w:rsidRDefault="00806236" w:rsidP="00246698">
            <w:pPr>
              <w:jc w:val="left"/>
              <w:rPr>
                <w:sz w:val="16"/>
                <w:szCs w:val="16"/>
                <w:lang w:val="sk-SK"/>
              </w:rPr>
            </w:pPr>
            <w:r w:rsidRPr="007857CD">
              <w:rPr>
                <w:rStyle w:val="formtext"/>
                <w:sz w:val="16"/>
                <w:szCs w:val="16"/>
                <w:lang w:val="sk-SK"/>
              </w:rPr>
              <w:t>Svetlo a osvetlenie. Základné termíny a kritériá na stanovenie požiadaviek na osvetlenie</w:t>
            </w:r>
          </w:p>
        </w:tc>
      </w:tr>
      <w:tr w:rsidR="00806236" w:rsidRPr="00133DF5" w:rsidTr="00246698">
        <w:tc>
          <w:tcPr>
            <w:tcW w:w="1374" w:type="pct"/>
          </w:tcPr>
          <w:p w:rsidR="00806236" w:rsidRPr="007857CD" w:rsidRDefault="00806236" w:rsidP="00246698">
            <w:pPr>
              <w:jc w:val="left"/>
              <w:rPr>
                <w:sz w:val="16"/>
                <w:szCs w:val="16"/>
                <w:lang w:val="sk-SK"/>
              </w:rPr>
            </w:pPr>
            <w:r w:rsidRPr="007857CD">
              <w:rPr>
                <w:sz w:val="16"/>
                <w:szCs w:val="16"/>
                <w:lang w:val="sk-SK"/>
              </w:rPr>
              <w:t>TNI CEN/TR 13201-1:20</w:t>
            </w:r>
            <w:r>
              <w:rPr>
                <w:sz w:val="16"/>
                <w:szCs w:val="16"/>
                <w:lang w:val="sk-SK"/>
              </w:rPr>
              <w:t>15</w:t>
            </w:r>
          </w:p>
        </w:tc>
        <w:tc>
          <w:tcPr>
            <w:tcW w:w="3626" w:type="pct"/>
          </w:tcPr>
          <w:p w:rsidR="00806236" w:rsidRPr="007857CD" w:rsidRDefault="00806236" w:rsidP="00246698">
            <w:pPr>
              <w:jc w:val="left"/>
              <w:rPr>
                <w:sz w:val="16"/>
                <w:szCs w:val="16"/>
                <w:lang w:val="sk-SK"/>
              </w:rPr>
            </w:pPr>
            <w:r w:rsidRPr="007857CD">
              <w:rPr>
                <w:rStyle w:val="formtext"/>
                <w:sz w:val="16"/>
                <w:szCs w:val="16"/>
                <w:lang w:val="sk-SK"/>
              </w:rPr>
              <w:t>Osvetlenie pozemných komunikácií. Časť 1: Výber tried osvetlenia</w:t>
            </w:r>
          </w:p>
        </w:tc>
      </w:tr>
      <w:tr w:rsidR="00806236" w:rsidRPr="00133DF5" w:rsidTr="00246698">
        <w:tc>
          <w:tcPr>
            <w:tcW w:w="1374" w:type="pct"/>
          </w:tcPr>
          <w:p w:rsidR="00806236" w:rsidRPr="007857CD" w:rsidRDefault="00806236" w:rsidP="00246698">
            <w:pPr>
              <w:jc w:val="left"/>
              <w:rPr>
                <w:sz w:val="16"/>
                <w:szCs w:val="16"/>
                <w:lang w:val="sk-SK"/>
              </w:rPr>
            </w:pPr>
            <w:r w:rsidRPr="007857CD">
              <w:rPr>
                <w:sz w:val="16"/>
                <w:szCs w:val="16"/>
                <w:lang w:val="sk-SK"/>
              </w:rPr>
              <w:t>STN EN 13201-2:20</w:t>
            </w:r>
            <w:r>
              <w:rPr>
                <w:sz w:val="16"/>
                <w:szCs w:val="16"/>
                <w:lang w:val="sk-SK"/>
              </w:rPr>
              <w:t>16</w:t>
            </w:r>
          </w:p>
        </w:tc>
        <w:tc>
          <w:tcPr>
            <w:tcW w:w="3626" w:type="pct"/>
          </w:tcPr>
          <w:p w:rsidR="00806236" w:rsidRPr="007857CD" w:rsidRDefault="00806236" w:rsidP="00246698">
            <w:pPr>
              <w:jc w:val="left"/>
              <w:rPr>
                <w:sz w:val="16"/>
                <w:szCs w:val="16"/>
                <w:lang w:val="sk-SK"/>
              </w:rPr>
            </w:pPr>
            <w:r w:rsidRPr="007857CD">
              <w:rPr>
                <w:rStyle w:val="formtext"/>
                <w:sz w:val="16"/>
                <w:szCs w:val="16"/>
                <w:lang w:val="sk-SK"/>
              </w:rPr>
              <w:t>Osvetlenie pozemných komunikácií. Časť 2: Svetelnotechnické požiadavky</w:t>
            </w:r>
          </w:p>
        </w:tc>
      </w:tr>
      <w:tr w:rsidR="00806236" w:rsidRPr="00133DF5" w:rsidTr="00246698">
        <w:tc>
          <w:tcPr>
            <w:tcW w:w="1374" w:type="pct"/>
          </w:tcPr>
          <w:p w:rsidR="00806236" w:rsidRPr="007857CD" w:rsidRDefault="00806236" w:rsidP="00246698">
            <w:pPr>
              <w:jc w:val="left"/>
              <w:rPr>
                <w:sz w:val="16"/>
                <w:szCs w:val="16"/>
                <w:lang w:val="sk-SK"/>
              </w:rPr>
            </w:pPr>
            <w:r w:rsidRPr="007857CD">
              <w:rPr>
                <w:sz w:val="16"/>
                <w:szCs w:val="16"/>
                <w:lang w:val="sk-SK"/>
              </w:rPr>
              <w:t>STN EN 13201-3:20</w:t>
            </w:r>
            <w:r>
              <w:rPr>
                <w:sz w:val="16"/>
                <w:szCs w:val="16"/>
                <w:lang w:val="sk-SK"/>
              </w:rPr>
              <w:t>16</w:t>
            </w:r>
          </w:p>
        </w:tc>
        <w:tc>
          <w:tcPr>
            <w:tcW w:w="3626" w:type="pct"/>
          </w:tcPr>
          <w:p w:rsidR="00806236" w:rsidRPr="007857CD" w:rsidRDefault="00806236" w:rsidP="00246698">
            <w:pPr>
              <w:jc w:val="left"/>
              <w:rPr>
                <w:sz w:val="16"/>
                <w:szCs w:val="16"/>
                <w:lang w:val="sk-SK"/>
              </w:rPr>
            </w:pPr>
            <w:r w:rsidRPr="007857CD">
              <w:rPr>
                <w:rStyle w:val="formtext"/>
                <w:sz w:val="16"/>
                <w:szCs w:val="16"/>
                <w:lang w:val="sk-SK"/>
              </w:rPr>
              <w:t>Osvetlenie pozemných komunikácií. Časť 3: Svetelnotechnický výpočet</w:t>
            </w:r>
          </w:p>
        </w:tc>
      </w:tr>
      <w:tr w:rsidR="00806236" w:rsidRPr="00133DF5" w:rsidTr="00246698">
        <w:tc>
          <w:tcPr>
            <w:tcW w:w="1374" w:type="pct"/>
          </w:tcPr>
          <w:p w:rsidR="00806236" w:rsidRPr="00133DF5" w:rsidRDefault="00806236" w:rsidP="00246698">
            <w:pPr>
              <w:rPr>
                <w:sz w:val="16"/>
                <w:szCs w:val="16"/>
                <w:lang w:val="sk-SK"/>
              </w:rPr>
            </w:pPr>
          </w:p>
        </w:tc>
        <w:tc>
          <w:tcPr>
            <w:tcW w:w="3626" w:type="pct"/>
          </w:tcPr>
          <w:p w:rsidR="00806236" w:rsidRPr="00133DF5" w:rsidRDefault="00806236" w:rsidP="00246698">
            <w:pPr>
              <w:rPr>
                <w:rStyle w:val="formtext"/>
                <w:sz w:val="16"/>
                <w:szCs w:val="16"/>
                <w:lang w:val="sk-SK"/>
              </w:rPr>
            </w:pPr>
          </w:p>
        </w:tc>
      </w:tr>
      <w:tr w:rsidR="00806236" w:rsidRPr="00133DF5" w:rsidTr="00246698">
        <w:tc>
          <w:tcPr>
            <w:tcW w:w="1374" w:type="pct"/>
          </w:tcPr>
          <w:p w:rsidR="00806236" w:rsidRPr="00133DF5" w:rsidRDefault="00806236" w:rsidP="00246698">
            <w:pPr>
              <w:rPr>
                <w:sz w:val="16"/>
                <w:szCs w:val="16"/>
                <w:lang w:val="sk-SK"/>
              </w:rPr>
            </w:pPr>
            <w:r w:rsidRPr="00133DF5">
              <w:rPr>
                <w:sz w:val="16"/>
                <w:szCs w:val="16"/>
                <w:lang w:val="sk-SK"/>
              </w:rPr>
              <w:t>Zákon NR SR č. 251/2012 Z. z.</w:t>
            </w:r>
          </w:p>
        </w:tc>
        <w:tc>
          <w:tcPr>
            <w:tcW w:w="3626" w:type="pct"/>
          </w:tcPr>
          <w:p w:rsidR="00806236" w:rsidRPr="00133DF5" w:rsidRDefault="00806236" w:rsidP="00246698">
            <w:pPr>
              <w:rPr>
                <w:sz w:val="16"/>
                <w:szCs w:val="16"/>
                <w:lang w:val="sk-SK"/>
              </w:rPr>
            </w:pPr>
            <w:r w:rsidRPr="00133DF5">
              <w:rPr>
                <w:sz w:val="16"/>
                <w:szCs w:val="16"/>
                <w:lang w:val="sk-SK"/>
              </w:rPr>
              <w:t>o energetike</w:t>
            </w:r>
          </w:p>
        </w:tc>
      </w:tr>
      <w:tr w:rsidR="00806236" w:rsidRPr="00133DF5" w:rsidTr="00246698">
        <w:tc>
          <w:tcPr>
            <w:tcW w:w="1374" w:type="pct"/>
          </w:tcPr>
          <w:p w:rsidR="00806236" w:rsidRPr="00133DF5" w:rsidRDefault="00806236" w:rsidP="00246698">
            <w:pPr>
              <w:rPr>
                <w:sz w:val="16"/>
                <w:szCs w:val="16"/>
                <w:lang w:val="sk-SK"/>
              </w:rPr>
            </w:pPr>
            <w:r w:rsidRPr="00133DF5">
              <w:rPr>
                <w:sz w:val="16"/>
                <w:szCs w:val="16"/>
                <w:lang w:val="sk-SK"/>
              </w:rPr>
              <w:t xml:space="preserve">Vyhláška </w:t>
            </w:r>
            <w:proofErr w:type="spellStart"/>
            <w:r w:rsidRPr="00133DF5">
              <w:rPr>
                <w:sz w:val="16"/>
                <w:szCs w:val="16"/>
                <w:lang w:val="sk-SK"/>
              </w:rPr>
              <w:t>MDPaT</w:t>
            </w:r>
            <w:proofErr w:type="spellEnd"/>
            <w:r w:rsidRPr="00133DF5">
              <w:rPr>
                <w:sz w:val="16"/>
                <w:szCs w:val="16"/>
                <w:lang w:val="sk-SK"/>
              </w:rPr>
              <w:t xml:space="preserve"> SR č. 508/2009 Z. z.</w:t>
            </w:r>
          </w:p>
        </w:tc>
        <w:tc>
          <w:tcPr>
            <w:tcW w:w="3626" w:type="pct"/>
          </w:tcPr>
          <w:p w:rsidR="00806236" w:rsidRPr="00133DF5" w:rsidRDefault="00806236" w:rsidP="00246698">
            <w:pPr>
              <w:rPr>
                <w:sz w:val="16"/>
                <w:szCs w:val="16"/>
                <w:lang w:val="sk-SK"/>
              </w:rPr>
            </w:pPr>
            <w:r w:rsidRPr="00133DF5">
              <w:rPr>
                <w:sz w:val="16"/>
                <w:szCs w:val="16"/>
                <w:lang w:val="sk-SK"/>
              </w:rPr>
              <w:t>ktorou sa ustanovujú podrobnosti na zaistenie bezpečnosti a ochrany zdravia pri práci</w:t>
            </w:r>
          </w:p>
          <w:p w:rsidR="00806236" w:rsidRPr="00133DF5" w:rsidRDefault="00806236" w:rsidP="00246698">
            <w:pPr>
              <w:rPr>
                <w:sz w:val="16"/>
                <w:szCs w:val="16"/>
                <w:lang w:val="sk-SK"/>
              </w:rPr>
            </w:pPr>
            <w:r w:rsidRPr="00133DF5">
              <w:rPr>
                <w:sz w:val="16"/>
                <w:szCs w:val="16"/>
                <w:lang w:val="sk-SK"/>
              </w:rPr>
              <w:t>s technickými zariadeniami tlakovými, zdvíhacími, elektrickými a plynovými a ktorou sa</w:t>
            </w:r>
          </w:p>
          <w:p w:rsidR="00806236" w:rsidRPr="00133DF5" w:rsidRDefault="00806236" w:rsidP="00246698">
            <w:pPr>
              <w:rPr>
                <w:sz w:val="16"/>
                <w:szCs w:val="16"/>
                <w:lang w:val="sk-SK"/>
              </w:rPr>
            </w:pPr>
            <w:r w:rsidRPr="00133DF5">
              <w:rPr>
                <w:sz w:val="16"/>
                <w:szCs w:val="16"/>
                <w:lang w:val="sk-SK"/>
              </w:rPr>
              <w:t>ustanovujú technické zariadenia, ktoré sa považujú za vyhradené technické zariadenia</w:t>
            </w:r>
          </w:p>
        </w:tc>
      </w:tr>
      <w:tr w:rsidR="00806236" w:rsidRPr="00133DF5" w:rsidTr="00246698">
        <w:tc>
          <w:tcPr>
            <w:tcW w:w="1374" w:type="pct"/>
          </w:tcPr>
          <w:p w:rsidR="00806236" w:rsidRPr="00133DF5" w:rsidRDefault="00806236" w:rsidP="00246698">
            <w:pPr>
              <w:rPr>
                <w:sz w:val="16"/>
                <w:szCs w:val="16"/>
                <w:lang w:val="sk-SK"/>
              </w:rPr>
            </w:pPr>
            <w:r w:rsidRPr="00133DF5">
              <w:rPr>
                <w:sz w:val="16"/>
                <w:szCs w:val="16"/>
                <w:lang w:val="sk-SK"/>
              </w:rPr>
              <w:t>Vyhláška MPSVaR SR č. 147/2013 Z. z.</w:t>
            </w:r>
          </w:p>
        </w:tc>
        <w:tc>
          <w:tcPr>
            <w:tcW w:w="3626" w:type="pct"/>
          </w:tcPr>
          <w:p w:rsidR="00806236" w:rsidRPr="00133DF5" w:rsidRDefault="00806236" w:rsidP="00246698">
            <w:pPr>
              <w:rPr>
                <w:sz w:val="16"/>
                <w:szCs w:val="16"/>
                <w:lang w:val="sk-SK"/>
              </w:rPr>
            </w:pPr>
            <w:r w:rsidRPr="00133DF5">
              <w:rPr>
                <w:sz w:val="16"/>
                <w:szCs w:val="16"/>
                <w:lang w:val="sk-SK"/>
              </w:rPr>
              <w:t>ktorou sa ustanovujú podrobnosti na zaistenie bezpečnosti a ochrany zdravia pri stavebných prácach a prácach s nimi súvisiacich a podrobnosti o odbornej spôsobilosti na výkon niektorých pracovných činností</w:t>
            </w:r>
          </w:p>
        </w:tc>
      </w:tr>
      <w:tr w:rsidR="00806236" w:rsidRPr="00133DF5" w:rsidTr="00246698">
        <w:tc>
          <w:tcPr>
            <w:tcW w:w="1374" w:type="pct"/>
          </w:tcPr>
          <w:p w:rsidR="00806236" w:rsidRPr="00133DF5" w:rsidRDefault="00806236" w:rsidP="00246698">
            <w:pPr>
              <w:rPr>
                <w:sz w:val="16"/>
                <w:szCs w:val="16"/>
                <w:lang w:val="sk-SK"/>
              </w:rPr>
            </w:pPr>
            <w:r w:rsidRPr="00133DF5">
              <w:rPr>
                <w:sz w:val="16"/>
                <w:szCs w:val="16"/>
                <w:lang w:val="sk-SK"/>
              </w:rPr>
              <w:t>Zákon NR SR č. 124/2006 Z. z.</w:t>
            </w:r>
          </w:p>
        </w:tc>
        <w:tc>
          <w:tcPr>
            <w:tcW w:w="3626" w:type="pct"/>
          </w:tcPr>
          <w:p w:rsidR="00806236" w:rsidRPr="00133DF5" w:rsidRDefault="00806236" w:rsidP="00246698">
            <w:pPr>
              <w:rPr>
                <w:sz w:val="16"/>
                <w:szCs w:val="16"/>
                <w:lang w:val="sk-SK"/>
              </w:rPr>
            </w:pPr>
            <w:r w:rsidRPr="00133DF5">
              <w:rPr>
                <w:sz w:val="16"/>
                <w:szCs w:val="16"/>
                <w:lang w:val="sk-SK"/>
              </w:rPr>
              <w:t>o bezpečnosti a ochrane zdravia pri práci a o zmene a doplnení niektorých zákonov</w:t>
            </w:r>
          </w:p>
        </w:tc>
      </w:tr>
      <w:tr w:rsidR="00806236" w:rsidRPr="00133DF5" w:rsidTr="00246698">
        <w:tc>
          <w:tcPr>
            <w:tcW w:w="1374" w:type="pct"/>
          </w:tcPr>
          <w:p w:rsidR="00806236" w:rsidRPr="00133DF5" w:rsidRDefault="00806236" w:rsidP="00246698">
            <w:pPr>
              <w:rPr>
                <w:sz w:val="16"/>
                <w:szCs w:val="16"/>
                <w:lang w:val="sk-SK"/>
              </w:rPr>
            </w:pPr>
            <w:r w:rsidRPr="00133DF5">
              <w:rPr>
                <w:sz w:val="16"/>
                <w:szCs w:val="16"/>
                <w:lang w:val="sk-SK"/>
              </w:rPr>
              <w:t>Zákon NR SR č. 79/2015 Z. z.</w:t>
            </w:r>
          </w:p>
        </w:tc>
        <w:tc>
          <w:tcPr>
            <w:tcW w:w="3626" w:type="pct"/>
          </w:tcPr>
          <w:p w:rsidR="00806236" w:rsidRPr="00133DF5" w:rsidRDefault="00806236" w:rsidP="00246698">
            <w:pPr>
              <w:rPr>
                <w:sz w:val="16"/>
                <w:szCs w:val="16"/>
                <w:lang w:val="sk-SK"/>
              </w:rPr>
            </w:pPr>
            <w:r w:rsidRPr="00133DF5">
              <w:rPr>
                <w:sz w:val="16"/>
                <w:szCs w:val="16"/>
                <w:lang w:val="sk-SK"/>
              </w:rPr>
              <w:t>o odpadoch</w:t>
            </w:r>
          </w:p>
        </w:tc>
      </w:tr>
      <w:tr w:rsidR="00806236" w:rsidRPr="00133DF5" w:rsidTr="00246698">
        <w:tc>
          <w:tcPr>
            <w:tcW w:w="1374" w:type="pct"/>
          </w:tcPr>
          <w:p w:rsidR="00806236" w:rsidRPr="00133DF5" w:rsidRDefault="00806236" w:rsidP="00246698">
            <w:pPr>
              <w:rPr>
                <w:sz w:val="16"/>
                <w:szCs w:val="16"/>
                <w:lang w:val="sk-SK"/>
              </w:rPr>
            </w:pPr>
            <w:r w:rsidRPr="00133DF5">
              <w:rPr>
                <w:sz w:val="16"/>
                <w:szCs w:val="16"/>
                <w:lang w:val="sk-SK"/>
              </w:rPr>
              <w:t>Vyhláška MŽP SR č. 284/2001 Z. z.</w:t>
            </w:r>
          </w:p>
        </w:tc>
        <w:tc>
          <w:tcPr>
            <w:tcW w:w="3626" w:type="pct"/>
          </w:tcPr>
          <w:p w:rsidR="00806236" w:rsidRPr="00133DF5" w:rsidRDefault="00806236" w:rsidP="00246698">
            <w:pPr>
              <w:rPr>
                <w:sz w:val="16"/>
                <w:szCs w:val="16"/>
                <w:lang w:val="sk-SK"/>
              </w:rPr>
            </w:pPr>
            <w:r w:rsidRPr="00133DF5">
              <w:rPr>
                <w:sz w:val="16"/>
                <w:szCs w:val="16"/>
                <w:lang w:val="sk-SK"/>
              </w:rPr>
              <w:t>ktorou sa ustanovuje Katalóg odpadov</w:t>
            </w:r>
          </w:p>
        </w:tc>
      </w:tr>
    </w:tbl>
    <w:p w:rsidR="00E768FA" w:rsidRPr="009E17A1" w:rsidRDefault="00E768FA" w:rsidP="00377B57">
      <w:pPr>
        <w:pStyle w:val="Nadpis1"/>
      </w:pPr>
      <w:r w:rsidRPr="009E17A1">
        <w:t>ZÁKLADNÉ TECHNICKÉ ÚDAJE</w:t>
      </w:r>
    </w:p>
    <w:p w:rsidR="00377B57" w:rsidRDefault="00377B57" w:rsidP="00377B57">
      <w:pPr>
        <w:pStyle w:val="Nadpis2"/>
      </w:pPr>
      <w:r w:rsidRPr="005C1175">
        <w:t>Elektrická sieť</w:t>
      </w:r>
      <w:r w:rsidRPr="005C1175">
        <w:tab/>
      </w:r>
    </w:p>
    <w:p w:rsidR="00377B57" w:rsidRPr="005C1175" w:rsidRDefault="00377B57" w:rsidP="00377B57">
      <w:pPr>
        <w:rPr>
          <w:b/>
        </w:rPr>
      </w:pPr>
      <w:r>
        <w:rPr>
          <w:b/>
        </w:rPr>
        <w:t>NN:</w:t>
      </w:r>
      <w:r>
        <w:rPr>
          <w:b/>
        </w:rPr>
        <w:tab/>
        <w:t>3PEN AC 400/230V TN-C-S</w:t>
      </w:r>
    </w:p>
    <w:p w:rsidR="00377B57" w:rsidRPr="005C1175" w:rsidRDefault="00377B57" w:rsidP="00377B57">
      <w:pPr>
        <w:pStyle w:val="Nadpis2"/>
      </w:pPr>
      <w:r w:rsidRPr="005C1175">
        <w:t xml:space="preserve">Ochrana pred zásahom elektrickým prúdom podľa </w:t>
      </w:r>
      <w:r w:rsidRPr="0084136F">
        <w:t>33 2000-4-41:2007</w:t>
      </w:r>
    </w:p>
    <w:p w:rsidR="00377B57" w:rsidRDefault="00377B57" w:rsidP="00377B57">
      <w:r>
        <w:t>Ochrana pred priamym dotykom:</w:t>
      </w:r>
      <w:r>
        <w:tab/>
      </w:r>
      <w:r>
        <w:tab/>
        <w:t>- Základná izolácia živých častí (príloha A1)</w:t>
      </w:r>
    </w:p>
    <w:p w:rsidR="00377B57" w:rsidRDefault="00377B57" w:rsidP="00377B57">
      <w:r>
        <w:tab/>
      </w:r>
      <w:r>
        <w:tab/>
      </w:r>
      <w:r>
        <w:tab/>
      </w:r>
      <w:r>
        <w:tab/>
      </w:r>
      <w:r>
        <w:tab/>
        <w:t>- Zábrany alebo kryty (príloha A2)</w:t>
      </w:r>
    </w:p>
    <w:p w:rsidR="00377B57" w:rsidRDefault="00377B57" w:rsidP="00377B57">
      <w:r>
        <w:t>Ochrana pred nepriamym dotykom:</w:t>
      </w:r>
      <w:r>
        <w:tab/>
        <w:t>- Ochranné uzemnenie a ochranné pospájanie (čl. 411.3.1)</w:t>
      </w:r>
    </w:p>
    <w:p w:rsidR="00377B57" w:rsidRPr="007471EE" w:rsidRDefault="00377B57" w:rsidP="00377B57">
      <w:r>
        <w:tab/>
      </w:r>
      <w:r>
        <w:tab/>
      </w:r>
      <w:r>
        <w:tab/>
      </w:r>
      <w:r>
        <w:tab/>
      </w:r>
      <w:r>
        <w:tab/>
        <w:t>- Samočinné odpojenie pri poruche (čl. 411.3.2)</w:t>
      </w:r>
    </w:p>
    <w:p w:rsidR="00377B57" w:rsidRDefault="00377B57" w:rsidP="00377B57">
      <w:pPr>
        <w:pStyle w:val="Nadpis2"/>
      </w:pPr>
      <w:r w:rsidRPr="005C1175">
        <w:t>Ochr</w:t>
      </w:r>
      <w:r>
        <w:t>ana pred atmosférickým prepätím</w:t>
      </w:r>
    </w:p>
    <w:p w:rsidR="00377B57" w:rsidRPr="007471EE" w:rsidRDefault="00377B57" w:rsidP="00377B57">
      <w:r w:rsidRPr="007471EE">
        <w:t>bleskoistkami</w:t>
      </w:r>
      <w:r>
        <w:t>, prepäťovými ochranami</w:t>
      </w:r>
      <w:r w:rsidR="000E4F0B">
        <w:t xml:space="preserve"> v rozvádzači RVO a v LED </w:t>
      </w:r>
      <w:r w:rsidR="00ED017F">
        <w:t>svietidlách</w:t>
      </w:r>
    </w:p>
    <w:p w:rsidR="00377B57" w:rsidRDefault="00377B57" w:rsidP="00377B57">
      <w:pPr>
        <w:pStyle w:val="Nadpis2"/>
      </w:pPr>
      <w:r w:rsidRPr="005C1175">
        <w:t>Ochrana pred skratom a preťažením</w:t>
      </w:r>
    </w:p>
    <w:p w:rsidR="00377B57" w:rsidRPr="007471EE" w:rsidRDefault="00377B57" w:rsidP="00377B57">
      <w:r>
        <w:t>poistkami a ističmi so zodpovedajúcou skratovou odolnosťou</w:t>
      </w:r>
    </w:p>
    <w:p w:rsidR="00377B57" w:rsidRDefault="00377B57" w:rsidP="00377B57">
      <w:pPr>
        <w:pStyle w:val="Nadpis2"/>
      </w:pPr>
      <w:r w:rsidRPr="00FB29B6">
        <w:t>Zaradenie EZ podľa vyhl. č. 508/2009 Z. z.</w:t>
      </w:r>
    </w:p>
    <w:tbl>
      <w:tblPr>
        <w:tblStyle w:val="Mriekatabuky"/>
        <w:tblW w:w="0" w:type="auto"/>
        <w:tblLook w:val="04A0" w:firstRow="1" w:lastRow="0" w:firstColumn="1" w:lastColumn="0" w:noHBand="0" w:noVBand="1"/>
      </w:tblPr>
      <w:tblGrid>
        <w:gridCol w:w="9886"/>
      </w:tblGrid>
      <w:tr w:rsidR="00377B57" w:rsidTr="00246698">
        <w:tc>
          <w:tcPr>
            <w:tcW w:w="9886" w:type="dxa"/>
          </w:tcPr>
          <w:p w:rsidR="00377B57" w:rsidRDefault="00377B57" w:rsidP="00246698">
            <w:r w:rsidRPr="00E75059">
              <w:rPr>
                <w:b/>
                <w:bCs/>
                <w:lang w:val="sk-SK"/>
              </w:rPr>
              <w:t>Zariadenie je zaradené v zmysle vyhlášky MPSVaR č. 508/2009 Z. z., §4 odst. 1,  do skupiny „B“ - Technické zariadenia elektrické nezaradené do skupiny A s prúdom alebo napätím, ktoré nie sú bezpečné.</w:t>
            </w:r>
          </w:p>
        </w:tc>
      </w:tr>
    </w:tbl>
    <w:p w:rsidR="00377B57" w:rsidRPr="005C1175" w:rsidRDefault="00377B57" w:rsidP="00377B57">
      <w:pPr>
        <w:pStyle w:val="Nadpis2"/>
      </w:pPr>
      <w:r w:rsidRPr="005C1175">
        <w:t>Stupeň dôležitosti dodávky el. energie podľa STN 34 1610</w:t>
      </w:r>
    </w:p>
    <w:p w:rsidR="00377B57" w:rsidRPr="008A32AA" w:rsidRDefault="00377B57" w:rsidP="00377B57">
      <w:r w:rsidRPr="008A32AA">
        <w:t>Stupeň III.</w:t>
      </w:r>
    </w:p>
    <w:p w:rsidR="00377B57" w:rsidRPr="002C441B" w:rsidRDefault="00377B57" w:rsidP="00377B57">
      <w:pPr>
        <w:pStyle w:val="Nadpis2"/>
      </w:pPr>
      <w:r w:rsidRPr="002C441B">
        <w:t>Energetická bilancia</w:t>
      </w:r>
    </w:p>
    <w:p w:rsidR="002C441B" w:rsidRPr="002C441B" w:rsidRDefault="002C441B" w:rsidP="002C441B">
      <w:r w:rsidRPr="002C441B">
        <w:t>Nové verejné osvetlenie bude napájané z jestvujúcej vetvy rozvádzača RVO8.</w:t>
      </w:r>
    </w:p>
    <w:p w:rsidR="002C441B" w:rsidRPr="002C441B" w:rsidRDefault="002C441B" w:rsidP="002C441B">
      <w:r w:rsidRPr="002C441B">
        <w:t>Celkový príkon nového osvetlenia bude (</w:t>
      </w:r>
      <w:r w:rsidR="008D64A8">
        <w:t>22</w:t>
      </w:r>
      <w:r w:rsidRPr="002C441B">
        <w:t>x60W+2x1</w:t>
      </w:r>
      <w:r w:rsidR="00265118">
        <w:t>20</w:t>
      </w:r>
      <w:r w:rsidRPr="002C441B">
        <w:t>W=1</w:t>
      </w:r>
      <w:r w:rsidR="008D64A8">
        <w:t>6</w:t>
      </w:r>
      <w:r w:rsidR="00265118">
        <w:t>0</w:t>
      </w:r>
      <w:r w:rsidRPr="002C441B">
        <w:t>0W) cca 1,</w:t>
      </w:r>
      <w:r w:rsidR="008D64A8">
        <w:t>6</w:t>
      </w:r>
      <w:r w:rsidRPr="002C441B">
        <w:t>kW.</w:t>
      </w:r>
    </w:p>
    <w:p w:rsidR="00377B57" w:rsidRDefault="00377B57" w:rsidP="00377B57">
      <w:pPr>
        <w:pStyle w:val="Nadpis2"/>
      </w:pPr>
      <w:r>
        <w:t>Meranie spotreby el. energie</w:t>
      </w:r>
    </w:p>
    <w:p w:rsidR="00A02942" w:rsidRDefault="00377B57" w:rsidP="00377B57">
      <w:pPr>
        <w:pStyle w:val="Odsekzoznamu"/>
        <w:ind w:left="0"/>
      </w:pPr>
      <w:r w:rsidRPr="0084136F">
        <w:t xml:space="preserve">Meranie el. energie </w:t>
      </w:r>
      <w:r w:rsidR="003838A6">
        <w:t xml:space="preserve">je v jestvujúcom rozvádzači RVO8, hl. istič 40A/B, istenie vetvy </w:t>
      </w:r>
      <w:r w:rsidR="00DD6EFB">
        <w:t>poistkami 25A.</w:t>
      </w:r>
      <w:r w:rsidR="00A02942">
        <w:t xml:space="preserve"> </w:t>
      </w:r>
    </w:p>
    <w:p w:rsidR="003838A6" w:rsidRDefault="00A02942" w:rsidP="00377B57">
      <w:pPr>
        <w:pStyle w:val="Odsekzoznamu"/>
        <w:ind w:left="0"/>
      </w:pPr>
      <w:r>
        <w:t>Nie je potrebné žiadať prevádzkovateľa DS</w:t>
      </w:r>
      <w:bookmarkStart w:id="0" w:name="_GoBack"/>
      <w:bookmarkEnd w:id="0"/>
      <w:r>
        <w:t xml:space="preserve"> o navýšenie MRK v jestv. rozvádzači RVO8.</w:t>
      </w:r>
    </w:p>
    <w:p w:rsidR="00377B57" w:rsidRPr="00741DAC" w:rsidRDefault="00377B57" w:rsidP="00377B57">
      <w:pPr>
        <w:pStyle w:val="Nadpis2"/>
      </w:pPr>
      <w:r w:rsidRPr="00741DAC">
        <w:t>Skratové prúdy a úbytky napätí</w:t>
      </w:r>
    </w:p>
    <w:p w:rsidR="00377B57" w:rsidRPr="009E17A1" w:rsidRDefault="00377B57" w:rsidP="00377B57">
      <w:pPr>
        <w:pStyle w:val="Odsekzoznamu"/>
        <w:ind w:left="0"/>
        <w:rPr>
          <w:bCs/>
        </w:rPr>
      </w:pPr>
      <w:r w:rsidRPr="009E17A1">
        <w:rPr>
          <w:bCs/>
        </w:rPr>
        <w:t>Na výpočet selektivity, impedancií a charakteristík bol použitý program SICHR. Výpočet tvorí prílohu technickej správy.</w:t>
      </w:r>
    </w:p>
    <w:p w:rsidR="00377B57" w:rsidRPr="005C1175" w:rsidRDefault="00377B57" w:rsidP="00377B57">
      <w:pPr>
        <w:pStyle w:val="Nadpis2"/>
      </w:pPr>
      <w:r w:rsidRPr="005C1175">
        <w:lastRenderedPageBreak/>
        <w:t>Určenie vonkajších vplyv</w:t>
      </w:r>
      <w:r>
        <w:t>ov podľa STN 33 2000-5-51:2010</w:t>
      </w:r>
    </w:p>
    <w:p w:rsidR="00377B57" w:rsidRPr="00133DF5" w:rsidRDefault="00377B57" w:rsidP="00377B57">
      <w:r>
        <w:t xml:space="preserve">Podľa </w:t>
      </w:r>
      <w:r w:rsidRPr="00133DF5">
        <w:t>protokol</w:t>
      </w:r>
      <w:r>
        <w:t xml:space="preserve">u </w:t>
      </w:r>
      <w:r w:rsidRPr="00133DF5">
        <w:t>v</w:t>
      </w:r>
      <w:r>
        <w:t> </w:t>
      </w:r>
      <w:r w:rsidRPr="00133DF5">
        <w:t>prílohe</w:t>
      </w:r>
      <w:r>
        <w:t xml:space="preserve"> tejto technickej správy.</w:t>
      </w:r>
    </w:p>
    <w:p w:rsidR="00377B57" w:rsidRPr="005C1175" w:rsidRDefault="00377B57" w:rsidP="00377B57">
      <w:pPr>
        <w:pStyle w:val="Nadpis2"/>
      </w:pPr>
      <w:r w:rsidRPr="005C1175">
        <w:t>Ochranné pásma</w:t>
      </w:r>
    </w:p>
    <w:p w:rsidR="00377B57" w:rsidRDefault="00377B57" w:rsidP="00377B57">
      <w:r w:rsidRPr="00133DF5">
        <w:t>Podľa zákona o energetike č.</w:t>
      </w:r>
      <w:r>
        <w:t xml:space="preserve"> </w:t>
      </w:r>
      <w:r w:rsidRPr="00133DF5">
        <w:t xml:space="preserve">251/2012 Z. z. je ochranné pásmo pre nadzemné el. vedenie bez izolácie do 35kV (vrátane) 10m od krajného vodiča. Ochranné pásmo pre podzemné el. vedenie do 110kV (vrátane) je 1m od  krajného kábla. Ochranné pásmo pre elektrickú stanicu ES s vnútorným vyhotovením je dané obostavanou hranicou objektu a pre elektrickú stanicu s vonkajším vyhotovením do 110kV – 10m a pre 110kV (vrátane) a viac 30m kolmo na oplotenie alebo hranicu objektu. </w:t>
      </w:r>
    </w:p>
    <w:p w:rsidR="00377B57" w:rsidRPr="00C8369F" w:rsidRDefault="00377B57" w:rsidP="00377B57">
      <w:r w:rsidRPr="00C8369F">
        <w:t xml:space="preserve">V ochrannom pásme vonkajšieho nadzemného elektrického vedenia a pod elektrickým vedením je zakázané: </w:t>
      </w:r>
    </w:p>
    <w:p w:rsidR="00377B57" w:rsidRPr="00C8369F" w:rsidRDefault="00377B57" w:rsidP="009F4CE9">
      <w:pPr>
        <w:pStyle w:val="Odsekzoznamu"/>
        <w:numPr>
          <w:ilvl w:val="0"/>
          <w:numId w:val="2"/>
        </w:numPr>
      </w:pPr>
      <w:r w:rsidRPr="00C8369F">
        <w:rPr>
          <w:rFonts w:cs="Calibri"/>
        </w:rPr>
        <w:t xml:space="preserve">zriaďovať stavby, konštrukcie a skládky, </w:t>
      </w:r>
    </w:p>
    <w:p w:rsidR="00377B57" w:rsidRPr="00C8369F" w:rsidRDefault="00377B57" w:rsidP="009F4CE9">
      <w:pPr>
        <w:pStyle w:val="Odsekzoznamu"/>
        <w:numPr>
          <w:ilvl w:val="0"/>
          <w:numId w:val="2"/>
        </w:numPr>
      </w:pPr>
      <w:r w:rsidRPr="00C8369F">
        <w:rPr>
          <w:rFonts w:cs="Calibri"/>
        </w:rPr>
        <w:t xml:space="preserve">vysádzať a pestovať trvalé porasty s výškou presahujúcou 3 m, </w:t>
      </w:r>
    </w:p>
    <w:p w:rsidR="00377B57" w:rsidRPr="00C8369F" w:rsidRDefault="00377B57" w:rsidP="009F4CE9">
      <w:pPr>
        <w:pStyle w:val="Odsekzoznamu"/>
        <w:numPr>
          <w:ilvl w:val="0"/>
          <w:numId w:val="2"/>
        </w:numPr>
      </w:pPr>
      <w:r w:rsidRPr="00C8369F">
        <w:rPr>
          <w:rFonts w:cs="Calibri"/>
        </w:rPr>
        <w:t>vys</w:t>
      </w:r>
      <w:r w:rsidRPr="00C8369F">
        <w:t xml:space="preserve">ádzať a pestovať trvalé porasty s výškou presahujúcou 3 m vo vzdialenosti do 2m od krajného vodiča vzdušného vedenia s jednoduchou izoláciou, </w:t>
      </w:r>
    </w:p>
    <w:p w:rsidR="00377B57" w:rsidRPr="00C8369F" w:rsidRDefault="00377B57" w:rsidP="009F4CE9">
      <w:pPr>
        <w:pStyle w:val="Odsekzoznamu"/>
        <w:numPr>
          <w:ilvl w:val="0"/>
          <w:numId w:val="2"/>
        </w:numPr>
      </w:pPr>
      <w:r w:rsidRPr="00C8369F">
        <w:rPr>
          <w:rFonts w:cs="Calibri"/>
        </w:rPr>
        <w:t xml:space="preserve">uskladňovať ľahko horľavé alebo výbušné látky, </w:t>
      </w:r>
    </w:p>
    <w:p w:rsidR="00377B57" w:rsidRPr="00C8369F" w:rsidRDefault="00377B57" w:rsidP="009F4CE9">
      <w:pPr>
        <w:pStyle w:val="Odsekzoznamu"/>
        <w:numPr>
          <w:ilvl w:val="0"/>
          <w:numId w:val="2"/>
        </w:numPr>
      </w:pPr>
      <w:r w:rsidRPr="00C8369F">
        <w:rPr>
          <w:rFonts w:cs="Calibri"/>
        </w:rPr>
        <w:t xml:space="preserve">vykonávať činnosti ohrozujúce bezpečnosť osôb a majetku, </w:t>
      </w:r>
    </w:p>
    <w:p w:rsidR="00377B57" w:rsidRDefault="00377B57" w:rsidP="009F4CE9">
      <w:pPr>
        <w:pStyle w:val="Odsekzoznamu"/>
        <w:numPr>
          <w:ilvl w:val="0"/>
          <w:numId w:val="2"/>
        </w:numPr>
      </w:pPr>
      <w:r w:rsidRPr="00C8369F">
        <w:rPr>
          <w:rFonts w:cs="Calibri"/>
        </w:rPr>
        <w:t>v</w:t>
      </w:r>
      <w:r w:rsidRPr="00C8369F">
        <w:t xml:space="preserve">ykonávať činnosti ohrozujúce elektrické vedenie a bezpečnosť a spoľahlivosť prevádzky sústavy. </w:t>
      </w:r>
    </w:p>
    <w:p w:rsidR="00E755F7" w:rsidRDefault="00E755F7" w:rsidP="00E755F7">
      <w:pPr>
        <w:pStyle w:val="Nadpis2"/>
      </w:pPr>
      <w:r w:rsidRPr="009E17A1">
        <w:t xml:space="preserve">Výber tried osvetlenia podľa </w:t>
      </w:r>
      <w:r>
        <w:t>TNI CEN/TR</w:t>
      </w:r>
      <w:r w:rsidRPr="009E17A1">
        <w:t xml:space="preserve"> 13</w:t>
      </w:r>
      <w:r>
        <w:t xml:space="preserve"> </w:t>
      </w:r>
      <w:r w:rsidRPr="009E17A1">
        <w:t>201-1</w:t>
      </w:r>
      <w:r>
        <w:t>:2015</w:t>
      </w:r>
    </w:p>
    <w:p w:rsidR="00FE1E49" w:rsidRPr="00197C6C" w:rsidRDefault="00FE1E49" w:rsidP="00E755F7">
      <w:pPr>
        <w:pStyle w:val="Odsekzoznamu"/>
        <w:ind w:left="0"/>
        <w:rPr>
          <w:bCs/>
        </w:rPr>
      </w:pPr>
      <w:r w:rsidRPr="00197C6C">
        <w:rPr>
          <w:bCs/>
        </w:rPr>
        <w:t xml:space="preserve">Navrhovaná komunikácia </w:t>
      </w:r>
      <w:r w:rsidR="00197C6C" w:rsidRPr="00197C6C">
        <w:rPr>
          <w:bCs/>
        </w:rPr>
        <w:t xml:space="preserve">bola </w:t>
      </w:r>
      <w:r w:rsidRPr="00197C6C">
        <w:rPr>
          <w:bCs/>
        </w:rPr>
        <w:t>zaradená do triedy osvetlenia M5</w:t>
      </w:r>
      <w:r w:rsidR="002A7B6F">
        <w:rPr>
          <w:bCs/>
        </w:rPr>
        <w:t xml:space="preserve"> podľa prílohy TS</w:t>
      </w:r>
      <w:r w:rsidRPr="00197C6C">
        <w:rPr>
          <w:bCs/>
        </w:rPr>
        <w:t>.</w:t>
      </w:r>
    </w:p>
    <w:p w:rsidR="00FE1E49" w:rsidRPr="00197C6C" w:rsidRDefault="00FE1E49" w:rsidP="00E755F7">
      <w:pPr>
        <w:pStyle w:val="Odsekzoznamu"/>
        <w:ind w:left="0"/>
        <w:rPr>
          <w:bCs/>
        </w:rPr>
      </w:pPr>
      <w:r w:rsidRPr="00197C6C">
        <w:rPr>
          <w:bCs/>
        </w:rPr>
        <w:t xml:space="preserve">Svetelno-technický výpočet </w:t>
      </w:r>
      <w:r w:rsidR="00197C6C" w:rsidRPr="00197C6C">
        <w:rPr>
          <w:bCs/>
        </w:rPr>
        <w:t>bol spracovaný v programe DIALUX a je v prílohe TS.</w:t>
      </w:r>
    </w:p>
    <w:p w:rsidR="00E755F7" w:rsidRPr="00197C6C" w:rsidRDefault="00E755F7" w:rsidP="00E755F7">
      <w:pPr>
        <w:rPr>
          <w:lang w:eastAsia="sk-SK"/>
        </w:rPr>
      </w:pPr>
      <w:r w:rsidRPr="00197C6C">
        <w:rPr>
          <w:lang w:eastAsia="sk-SK"/>
        </w:rPr>
        <w:t xml:space="preserve">Vo výpočte bolo uvažované so svietidlami z rady LUMA používané v osvetľovacej sústave správcu osvetlenia O.S.V.O. </w:t>
      </w:r>
      <w:proofErr w:type="spellStart"/>
      <w:r w:rsidRPr="00197C6C">
        <w:rPr>
          <w:lang w:eastAsia="sk-SK"/>
        </w:rPr>
        <w:t>comp</w:t>
      </w:r>
      <w:proofErr w:type="spellEnd"/>
      <w:r w:rsidRPr="00197C6C">
        <w:rPr>
          <w:lang w:eastAsia="sk-SK"/>
        </w:rPr>
        <w:t xml:space="preserve">, </w:t>
      </w:r>
      <w:proofErr w:type="spellStart"/>
      <w:r w:rsidRPr="00197C6C">
        <w:rPr>
          <w:lang w:eastAsia="sk-SK"/>
        </w:rPr>
        <w:t>a.s</w:t>
      </w:r>
      <w:proofErr w:type="spellEnd"/>
      <w:r w:rsidRPr="00197C6C">
        <w:rPr>
          <w:lang w:eastAsia="sk-SK"/>
        </w:rPr>
        <w:t xml:space="preserve">.. </w:t>
      </w:r>
    </w:p>
    <w:p w:rsidR="00E755F7" w:rsidRPr="00AD5E36" w:rsidRDefault="00E755F7" w:rsidP="00E755F7">
      <w:pPr>
        <w:rPr>
          <w:b/>
          <w:lang w:val="en-US"/>
        </w:rPr>
      </w:pPr>
      <w:r w:rsidRPr="00197C6C">
        <w:rPr>
          <w:b/>
          <w:lang w:eastAsia="sk-SK"/>
        </w:rPr>
        <w:t xml:space="preserve">V prípade použitia iných svietidiel je potrebné </w:t>
      </w:r>
      <w:r w:rsidR="00AD5E36">
        <w:rPr>
          <w:b/>
          <w:lang w:eastAsia="sk-SK"/>
        </w:rPr>
        <w:t>vy</w:t>
      </w:r>
      <w:r w:rsidRPr="00197C6C">
        <w:rPr>
          <w:b/>
          <w:lang w:eastAsia="sk-SK"/>
        </w:rPr>
        <w:t>pracovať</w:t>
      </w:r>
      <w:r w:rsidR="00AD5E36">
        <w:rPr>
          <w:b/>
          <w:lang w:eastAsia="sk-SK"/>
        </w:rPr>
        <w:t xml:space="preserve"> nový svetelno-technický výpočet</w:t>
      </w:r>
      <w:r w:rsidR="003738E2">
        <w:rPr>
          <w:b/>
          <w:lang w:eastAsia="sk-SK"/>
        </w:rPr>
        <w:t xml:space="preserve"> </w:t>
      </w:r>
      <w:r w:rsidRPr="00197C6C">
        <w:rPr>
          <w:b/>
          <w:lang w:eastAsia="sk-SK"/>
        </w:rPr>
        <w:t xml:space="preserve">a navrhnúť nové rozmiestnenie </w:t>
      </w:r>
      <w:r w:rsidR="00D43D18">
        <w:rPr>
          <w:b/>
          <w:lang w:eastAsia="sk-SK"/>
        </w:rPr>
        <w:t>svetelných miest</w:t>
      </w:r>
      <w:r w:rsidRPr="00197C6C">
        <w:rPr>
          <w:b/>
          <w:lang w:eastAsia="sk-SK"/>
        </w:rPr>
        <w:t>!</w:t>
      </w:r>
      <w:r w:rsidR="00AD5E36">
        <w:rPr>
          <w:b/>
          <w:lang w:val="en-US" w:eastAsia="sk-SK"/>
        </w:rPr>
        <w:t>!!</w:t>
      </w:r>
    </w:p>
    <w:p w:rsidR="00E755F7" w:rsidRPr="00197C6C" w:rsidRDefault="00E755F7" w:rsidP="00E755F7">
      <w:pPr>
        <w:rPr>
          <w:b/>
          <w:lang w:eastAsia="sk-SK"/>
        </w:rPr>
      </w:pPr>
      <w:r w:rsidRPr="00197C6C">
        <w:rPr>
          <w:bCs/>
        </w:rPr>
        <w:t>Uvažovaný povrch vozovky je C2.</w:t>
      </w:r>
      <w:r w:rsidRPr="00197C6C">
        <w:rPr>
          <w:b/>
          <w:lang w:eastAsia="sk-SK"/>
        </w:rPr>
        <w:t xml:space="preserve"> </w:t>
      </w:r>
    </w:p>
    <w:p w:rsidR="00E768FA" w:rsidRPr="009E17A1" w:rsidRDefault="00E768FA" w:rsidP="00E768FA">
      <w:pPr>
        <w:pStyle w:val="Nadpis1"/>
      </w:pPr>
      <w:r w:rsidRPr="009E17A1">
        <w:t>VECNÉ A ČASOVÉ VÄZBY NA OKOLIE, PRÍPRAVA NA VÝSTAVBU A SÚVISIACE INVESTÍCIE</w:t>
      </w:r>
    </w:p>
    <w:p w:rsidR="00E768FA" w:rsidRPr="009E17A1" w:rsidRDefault="00E768FA" w:rsidP="00E768FA">
      <w:pPr>
        <w:pStyle w:val="Nadpis2"/>
      </w:pPr>
      <w:r w:rsidRPr="009E17A1">
        <w:t>Súvisiace objekty</w:t>
      </w:r>
    </w:p>
    <w:p w:rsidR="00E768FA" w:rsidRDefault="009E5AF3" w:rsidP="00E768FA">
      <w:pPr>
        <w:pStyle w:val="Odsekzoznamu"/>
        <w:ind w:left="0"/>
        <w:rPr>
          <w:bCs/>
        </w:rPr>
      </w:pPr>
      <w:r>
        <w:rPr>
          <w:bCs/>
        </w:rPr>
        <w:t>100-00</w:t>
      </w:r>
      <w:r w:rsidR="005348BD">
        <w:rPr>
          <w:bCs/>
        </w:rPr>
        <w:t xml:space="preserve"> Miestna komunikácia</w:t>
      </w:r>
    </w:p>
    <w:p w:rsidR="009E5AF3" w:rsidRPr="009E17A1" w:rsidRDefault="009E5AF3" w:rsidP="00E768FA">
      <w:pPr>
        <w:pStyle w:val="Odsekzoznamu"/>
        <w:ind w:left="0"/>
        <w:rPr>
          <w:bCs/>
        </w:rPr>
      </w:pPr>
      <w:r>
        <w:rPr>
          <w:bCs/>
        </w:rPr>
        <w:t>200-00</w:t>
      </w:r>
      <w:r w:rsidR="005348BD">
        <w:rPr>
          <w:bCs/>
        </w:rPr>
        <w:t xml:space="preserve"> Most </w:t>
      </w:r>
      <w:proofErr w:type="spellStart"/>
      <w:r w:rsidR="005348BD">
        <w:rPr>
          <w:bCs/>
        </w:rPr>
        <w:t>Baratoky</w:t>
      </w:r>
      <w:proofErr w:type="spellEnd"/>
    </w:p>
    <w:p w:rsidR="00E768FA" w:rsidRPr="009E17A1" w:rsidRDefault="00E768FA" w:rsidP="00E768FA">
      <w:pPr>
        <w:pStyle w:val="Nadpis2"/>
      </w:pPr>
      <w:r w:rsidRPr="009E17A1">
        <w:t>Vytýčenie objektu</w:t>
      </w:r>
    </w:p>
    <w:p w:rsidR="00E768FA" w:rsidRPr="009E17A1" w:rsidRDefault="00E768FA" w:rsidP="00E768FA">
      <w:pPr>
        <w:tabs>
          <w:tab w:val="left" w:pos="0"/>
          <w:tab w:val="left" w:pos="567"/>
        </w:tabs>
        <w:rPr>
          <w:rFonts w:eastAsia="Calibri" w:cs="Arial"/>
          <w:iCs/>
        </w:rPr>
      </w:pPr>
      <w:r w:rsidRPr="009E17A1">
        <w:rPr>
          <w:rFonts w:eastAsia="Calibri" w:cs="Arial"/>
          <w:iCs/>
        </w:rPr>
        <w:t>Vytýčenie trasy káblového vedenia VO a káblových podchodov je potrebné previesť oprávneným geodetom podľa súradníc podrobných bodov objektu</w:t>
      </w:r>
      <w:r w:rsidRPr="009E17A1">
        <w:rPr>
          <w:rFonts w:cs="Arial"/>
          <w:iCs/>
        </w:rPr>
        <w:t xml:space="preserve"> </w:t>
      </w:r>
      <w:r w:rsidRPr="009E17A1">
        <w:rPr>
          <w:rFonts w:eastAsia="Calibri" w:cs="Arial"/>
          <w:iCs/>
        </w:rPr>
        <w:t>s presnosťou podľa STN 73 0422.</w:t>
      </w:r>
      <w:r>
        <w:rPr>
          <w:rFonts w:eastAsia="Calibri" w:cs="Arial"/>
          <w:iCs/>
        </w:rPr>
        <w:t xml:space="preserve"> Súradnice sú uvedené na výkrese č.2</w:t>
      </w:r>
      <w:r w:rsidR="00A75DF4">
        <w:rPr>
          <w:rFonts w:eastAsia="Calibri" w:cs="Arial"/>
          <w:iCs/>
        </w:rPr>
        <w:t>.1</w:t>
      </w:r>
      <w:r>
        <w:rPr>
          <w:rFonts w:eastAsia="Calibri" w:cs="Arial"/>
          <w:iCs/>
        </w:rPr>
        <w:t>.</w:t>
      </w:r>
    </w:p>
    <w:p w:rsidR="00E768FA" w:rsidRPr="009E17A1" w:rsidRDefault="00E768FA" w:rsidP="00E768FA">
      <w:pPr>
        <w:pStyle w:val="Nadpis2"/>
      </w:pPr>
      <w:r w:rsidRPr="009E17A1">
        <w:t>Trvalé a dočasné zábery, vecné bremená</w:t>
      </w:r>
    </w:p>
    <w:p w:rsidR="00E768FA" w:rsidRPr="009E17A1" w:rsidRDefault="00E768FA" w:rsidP="00E768FA">
      <w:pPr>
        <w:rPr>
          <w:rFonts w:cs="Arial"/>
        </w:rPr>
      </w:pPr>
      <w:r>
        <w:rPr>
          <w:rFonts w:cs="Arial"/>
        </w:rPr>
        <w:t>V</w:t>
      </w:r>
      <w:r w:rsidRPr="009E17A1">
        <w:rPr>
          <w:rFonts w:cs="Arial"/>
        </w:rPr>
        <w:t>ecné bremeno sa  zriadi pod káblovým vedením v prospech prevádzkovateľa VO.</w:t>
      </w:r>
    </w:p>
    <w:p w:rsidR="00E768FA" w:rsidRPr="009E17A1" w:rsidRDefault="00E768FA" w:rsidP="00E768FA">
      <w:pPr>
        <w:rPr>
          <w:rFonts w:cs="Arial"/>
        </w:rPr>
      </w:pPr>
      <w:r w:rsidRPr="009E17A1">
        <w:rPr>
          <w:rFonts w:cs="Arial"/>
        </w:rPr>
        <w:t xml:space="preserve">Dočasný záber počas výstavby verejného osvetlenia v trase vedenia bude pás o šírke 2m na každú stranu od osi káblového vedenia </w:t>
      </w:r>
      <w:r>
        <w:rPr>
          <w:rFonts w:cs="Arial"/>
        </w:rPr>
        <w:t xml:space="preserve"> podľa </w:t>
      </w:r>
      <w:r w:rsidRPr="009E17A1">
        <w:rPr>
          <w:rFonts w:cs="Arial"/>
        </w:rPr>
        <w:t>výkres</w:t>
      </w:r>
      <w:r>
        <w:rPr>
          <w:rFonts w:cs="Arial"/>
        </w:rPr>
        <w:t>u</w:t>
      </w:r>
      <w:r w:rsidRPr="009E17A1">
        <w:rPr>
          <w:rFonts w:cs="Arial"/>
        </w:rPr>
        <w:t xml:space="preserve"> č.2.</w:t>
      </w:r>
    </w:p>
    <w:p w:rsidR="00E768FA" w:rsidRPr="009E17A1" w:rsidRDefault="00E768FA" w:rsidP="00E768FA">
      <w:pPr>
        <w:pStyle w:val="Nadpis2"/>
      </w:pPr>
      <w:r w:rsidRPr="009E17A1">
        <w:t>Zemné práce</w:t>
      </w:r>
    </w:p>
    <w:p w:rsidR="00E768FA" w:rsidRPr="009E17A1" w:rsidRDefault="00377B57" w:rsidP="00377B57">
      <w:pPr>
        <w:rPr>
          <w:rFonts w:cs="Arial"/>
          <w:szCs w:val="20"/>
        </w:rPr>
      </w:pPr>
      <w:r w:rsidRPr="009E17A1">
        <w:t xml:space="preserve">Pred zahájením výkopových prác je </w:t>
      </w:r>
      <w:r>
        <w:t>zhotoviteľ</w:t>
      </w:r>
      <w:r w:rsidRPr="009E17A1">
        <w:t xml:space="preserve"> povinný zabezpečiť presné vytýčenie trás všetkých podzemných vedení aby sa zabránilo ich prípadnému poškodeniu. Pri križovaní a súbehu elektrického vedenia s inými podzemnými sieťami je potrebné dodržať minimálne vzdialenosti vo vodorovnom i zvislom smere podľa STN 73 6005 a STN 34 1050.</w:t>
      </w:r>
    </w:p>
    <w:p w:rsidR="00377B57" w:rsidRPr="009E17A1" w:rsidRDefault="00E768FA" w:rsidP="00377B57">
      <w:pPr>
        <w:pStyle w:val="Odsekzoznamu"/>
        <w:ind w:left="0"/>
      </w:pPr>
      <w:r w:rsidRPr="009E17A1">
        <w:rPr>
          <w:rFonts w:cs="Arial"/>
        </w:rPr>
        <w:t xml:space="preserve">Po ukončení zemných prác je potrebné previesť rekultiváciu dotknutého územia a dať terén do pôvodného stavu. </w:t>
      </w:r>
      <w:r w:rsidR="00377B57" w:rsidRPr="009E17A1">
        <w:t>Vzdialenosti od iných inžinierskych sietí je potrebné dodržať podľa STN 73 6005.</w:t>
      </w:r>
    </w:p>
    <w:tbl>
      <w:tblPr>
        <w:tblW w:w="0" w:type="auto"/>
        <w:tblInd w:w="56" w:type="dxa"/>
        <w:tblCellMar>
          <w:left w:w="70" w:type="dxa"/>
          <w:right w:w="70" w:type="dxa"/>
        </w:tblCellMar>
        <w:tblLook w:val="04A0" w:firstRow="1" w:lastRow="0" w:firstColumn="1" w:lastColumn="0" w:noHBand="0" w:noVBand="1"/>
      </w:tblPr>
      <w:tblGrid>
        <w:gridCol w:w="1008"/>
        <w:gridCol w:w="495"/>
        <w:gridCol w:w="557"/>
        <w:gridCol w:w="557"/>
        <w:gridCol w:w="659"/>
        <w:gridCol w:w="495"/>
        <w:gridCol w:w="505"/>
        <w:gridCol w:w="505"/>
        <w:gridCol w:w="495"/>
        <w:gridCol w:w="495"/>
        <w:gridCol w:w="495"/>
        <w:gridCol w:w="495"/>
      </w:tblGrid>
      <w:tr w:rsidR="00377B57" w:rsidRPr="00501E44" w:rsidTr="00246698">
        <w:trPr>
          <w:trHeight w:val="3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7B57" w:rsidRPr="00501E44" w:rsidRDefault="00377B57" w:rsidP="00246698">
            <w:pPr>
              <w:jc w:val="center"/>
              <w:rPr>
                <w:rFonts w:eastAsia="Times New Roman" w:cs="Times New Roman"/>
                <w:b/>
                <w:bCs/>
                <w:color w:val="000000"/>
                <w:szCs w:val="20"/>
                <w:lang w:eastAsia="sk-SK" w:bidi="ar-SA"/>
              </w:rPr>
            </w:pPr>
            <w:r w:rsidRPr="00501E44">
              <w:rPr>
                <w:rFonts w:eastAsia="Times New Roman" w:cs="Times New Roman"/>
                <w:b/>
                <w:bCs/>
                <w:color w:val="000000"/>
                <w:szCs w:val="20"/>
                <w:lang w:eastAsia="sk-SK" w:bidi="ar-SA"/>
              </w:rPr>
              <w:t>1kV kábel</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377B57" w:rsidRPr="00501E44" w:rsidRDefault="00377B57" w:rsidP="00246698">
            <w:pPr>
              <w:jc w:val="center"/>
              <w:rPr>
                <w:rFonts w:eastAsia="Times New Roman" w:cs="Times New Roman"/>
                <w:b/>
                <w:bCs/>
                <w:color w:val="000000"/>
                <w:szCs w:val="20"/>
                <w:lang w:eastAsia="sk-SK" w:bidi="ar-SA"/>
              </w:rPr>
            </w:pPr>
            <w:r w:rsidRPr="00501E44">
              <w:rPr>
                <w:rFonts w:eastAsia="Times New Roman" w:cs="Times New Roman"/>
                <w:b/>
                <w:bCs/>
                <w:color w:val="000000"/>
                <w:szCs w:val="20"/>
                <w:lang w:eastAsia="sk-SK" w:bidi="ar-SA"/>
              </w:rPr>
              <w:t>Silové káble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377B57" w:rsidRPr="00501E44" w:rsidRDefault="00377B57" w:rsidP="00246698">
            <w:pPr>
              <w:jc w:val="center"/>
              <w:rPr>
                <w:rFonts w:eastAsia="Times New Roman" w:cs="Times New Roman"/>
                <w:b/>
                <w:bCs/>
                <w:color w:val="000000"/>
                <w:szCs w:val="20"/>
                <w:lang w:eastAsia="sk-SK" w:bidi="ar-SA"/>
              </w:rPr>
            </w:pPr>
            <w:r w:rsidRPr="00501E44">
              <w:rPr>
                <w:rFonts w:eastAsia="Times New Roman" w:cs="Times New Roman"/>
                <w:b/>
                <w:bCs/>
                <w:color w:val="000000"/>
                <w:szCs w:val="20"/>
                <w:lang w:eastAsia="sk-SK" w:bidi="ar-SA"/>
              </w:rPr>
              <w:t>Oznamovacie káble</w:t>
            </w: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rsidR="00377B57" w:rsidRPr="00501E44" w:rsidRDefault="00377B57" w:rsidP="00246698">
            <w:pPr>
              <w:jc w:val="center"/>
              <w:rPr>
                <w:rFonts w:eastAsia="Times New Roman" w:cs="Times New Roman"/>
                <w:b/>
                <w:bCs/>
                <w:color w:val="000000"/>
                <w:szCs w:val="20"/>
                <w:lang w:eastAsia="sk-SK" w:bidi="ar-SA"/>
              </w:rPr>
            </w:pPr>
            <w:r w:rsidRPr="00501E44">
              <w:rPr>
                <w:rFonts w:eastAsia="Times New Roman" w:cs="Times New Roman"/>
                <w:b/>
                <w:bCs/>
                <w:color w:val="000000"/>
                <w:szCs w:val="20"/>
                <w:lang w:eastAsia="sk-SK" w:bidi="ar-SA"/>
              </w:rPr>
              <w:t>Plynovody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377B57" w:rsidRPr="00501E44" w:rsidRDefault="00377B57" w:rsidP="00246698">
            <w:pPr>
              <w:jc w:val="center"/>
              <w:rPr>
                <w:rFonts w:eastAsia="Times New Roman" w:cs="Times New Roman"/>
                <w:b/>
                <w:bCs/>
                <w:color w:val="000000"/>
                <w:szCs w:val="20"/>
                <w:lang w:eastAsia="sk-SK" w:bidi="ar-SA"/>
              </w:rPr>
            </w:pPr>
            <w:r w:rsidRPr="00501E44">
              <w:rPr>
                <w:rFonts w:eastAsia="Times New Roman" w:cs="Times New Roman"/>
                <w:b/>
                <w:bCs/>
                <w:color w:val="000000"/>
                <w:szCs w:val="20"/>
                <w:lang w:eastAsia="sk-SK" w:bidi="ar-SA"/>
              </w:rPr>
              <w:t>Vodovodné potrubie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377B57" w:rsidRPr="00501E44" w:rsidRDefault="00377B57" w:rsidP="00246698">
            <w:pPr>
              <w:jc w:val="center"/>
              <w:rPr>
                <w:rFonts w:eastAsia="Times New Roman" w:cs="Times New Roman"/>
                <w:b/>
                <w:bCs/>
                <w:color w:val="000000"/>
                <w:szCs w:val="20"/>
                <w:lang w:eastAsia="sk-SK" w:bidi="ar-SA"/>
              </w:rPr>
            </w:pPr>
            <w:r w:rsidRPr="00501E44">
              <w:rPr>
                <w:rFonts w:eastAsia="Times New Roman" w:cs="Times New Roman"/>
                <w:b/>
                <w:bCs/>
                <w:color w:val="000000"/>
                <w:szCs w:val="20"/>
                <w:lang w:eastAsia="sk-SK" w:bidi="ar-SA"/>
              </w:rPr>
              <w:t>Tepelné vedenie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377B57" w:rsidRPr="00501E44" w:rsidRDefault="00377B57" w:rsidP="00246698">
            <w:pPr>
              <w:jc w:val="center"/>
              <w:rPr>
                <w:rFonts w:eastAsia="Times New Roman" w:cs="Times New Roman"/>
                <w:b/>
                <w:bCs/>
                <w:color w:val="000000"/>
                <w:szCs w:val="20"/>
                <w:lang w:eastAsia="sk-SK" w:bidi="ar-SA"/>
              </w:rPr>
            </w:pPr>
            <w:r w:rsidRPr="00501E44">
              <w:rPr>
                <w:rFonts w:eastAsia="Times New Roman" w:cs="Times New Roman"/>
                <w:b/>
                <w:bCs/>
                <w:color w:val="000000"/>
                <w:szCs w:val="20"/>
                <w:lang w:eastAsia="sk-SK" w:bidi="ar-SA"/>
              </w:rPr>
              <w:t>Káblovody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377B57" w:rsidRPr="00501E44" w:rsidRDefault="00377B57" w:rsidP="00246698">
            <w:pPr>
              <w:jc w:val="center"/>
              <w:rPr>
                <w:rFonts w:eastAsia="Times New Roman" w:cs="Times New Roman"/>
                <w:b/>
                <w:bCs/>
                <w:color w:val="000000"/>
                <w:szCs w:val="20"/>
                <w:lang w:eastAsia="sk-SK" w:bidi="ar-SA"/>
              </w:rPr>
            </w:pPr>
            <w:r w:rsidRPr="00501E44">
              <w:rPr>
                <w:rFonts w:eastAsia="Times New Roman" w:cs="Times New Roman"/>
                <w:b/>
                <w:bCs/>
                <w:color w:val="000000"/>
                <w:szCs w:val="20"/>
                <w:lang w:eastAsia="sk-SK" w:bidi="ar-SA"/>
              </w:rPr>
              <w:t>Stoky</w:t>
            </w:r>
          </w:p>
        </w:tc>
      </w:tr>
      <w:tr w:rsidR="00377B57" w:rsidRPr="00501E44" w:rsidTr="00246698">
        <w:trPr>
          <w:trHeight w:val="16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7B57" w:rsidRPr="00501E44" w:rsidRDefault="00377B57" w:rsidP="00246698">
            <w:pPr>
              <w:jc w:val="left"/>
              <w:rPr>
                <w:rFonts w:eastAsia="Times New Roman" w:cs="Times New Roman"/>
                <w:b/>
                <w:bCs/>
                <w:color w:val="000000"/>
                <w:szCs w:val="20"/>
                <w:lang w:eastAsia="sk-SK" w:bidi="ar-SA"/>
              </w:rPr>
            </w:pPr>
          </w:p>
        </w:tc>
        <w:tc>
          <w:tcPr>
            <w:tcW w:w="0" w:type="auto"/>
            <w:tcBorders>
              <w:top w:val="nil"/>
              <w:left w:val="nil"/>
              <w:bottom w:val="single" w:sz="4" w:space="0" w:color="auto"/>
              <w:right w:val="single" w:sz="4" w:space="0" w:color="auto"/>
            </w:tcBorders>
            <w:shd w:val="clear" w:color="auto" w:fill="auto"/>
            <w:noWrap/>
            <w:vAlign w:val="center"/>
            <w:hideMark/>
          </w:tcPr>
          <w:p w:rsidR="00377B57" w:rsidRPr="00501E44" w:rsidRDefault="00377B57" w:rsidP="00246698">
            <w:pPr>
              <w:jc w:val="center"/>
              <w:rPr>
                <w:rFonts w:eastAsia="Times New Roman" w:cs="Times New Roman"/>
                <w:b/>
                <w:bCs/>
                <w:color w:val="000000"/>
                <w:szCs w:val="20"/>
                <w:lang w:eastAsia="sk-SK" w:bidi="ar-SA"/>
              </w:rPr>
            </w:pPr>
            <w:r w:rsidRPr="00501E44">
              <w:rPr>
                <w:rFonts w:eastAsia="Times New Roman" w:cs="Times New Roman"/>
                <w:b/>
                <w:bCs/>
                <w:color w:val="000000"/>
                <w:szCs w:val="20"/>
                <w:lang w:eastAsia="sk-SK" w:bidi="ar-SA"/>
              </w:rPr>
              <w:t>1kV</w:t>
            </w:r>
          </w:p>
        </w:tc>
        <w:tc>
          <w:tcPr>
            <w:tcW w:w="0" w:type="auto"/>
            <w:tcBorders>
              <w:top w:val="nil"/>
              <w:left w:val="nil"/>
              <w:bottom w:val="single" w:sz="4" w:space="0" w:color="auto"/>
              <w:right w:val="single" w:sz="4" w:space="0" w:color="auto"/>
            </w:tcBorders>
            <w:shd w:val="clear" w:color="auto" w:fill="auto"/>
            <w:noWrap/>
            <w:vAlign w:val="center"/>
            <w:hideMark/>
          </w:tcPr>
          <w:p w:rsidR="00377B57" w:rsidRPr="00501E44" w:rsidRDefault="00377B57" w:rsidP="00246698">
            <w:pPr>
              <w:jc w:val="center"/>
              <w:rPr>
                <w:rFonts w:eastAsia="Times New Roman" w:cs="Times New Roman"/>
                <w:b/>
                <w:bCs/>
                <w:color w:val="000000"/>
                <w:szCs w:val="20"/>
                <w:lang w:eastAsia="sk-SK" w:bidi="ar-SA"/>
              </w:rPr>
            </w:pPr>
            <w:r w:rsidRPr="00501E44">
              <w:rPr>
                <w:rFonts w:eastAsia="Times New Roman" w:cs="Times New Roman"/>
                <w:b/>
                <w:bCs/>
                <w:color w:val="000000"/>
                <w:szCs w:val="20"/>
                <w:lang w:eastAsia="sk-SK" w:bidi="ar-SA"/>
              </w:rPr>
              <w:t>10kV</w:t>
            </w:r>
          </w:p>
        </w:tc>
        <w:tc>
          <w:tcPr>
            <w:tcW w:w="0" w:type="auto"/>
            <w:tcBorders>
              <w:top w:val="nil"/>
              <w:left w:val="nil"/>
              <w:bottom w:val="single" w:sz="4" w:space="0" w:color="auto"/>
              <w:right w:val="single" w:sz="4" w:space="0" w:color="auto"/>
            </w:tcBorders>
            <w:shd w:val="clear" w:color="auto" w:fill="auto"/>
            <w:noWrap/>
            <w:vAlign w:val="center"/>
            <w:hideMark/>
          </w:tcPr>
          <w:p w:rsidR="00377B57" w:rsidRPr="00501E44" w:rsidRDefault="00377B57" w:rsidP="00246698">
            <w:pPr>
              <w:jc w:val="center"/>
              <w:rPr>
                <w:rFonts w:eastAsia="Times New Roman" w:cs="Times New Roman"/>
                <w:b/>
                <w:bCs/>
                <w:color w:val="000000"/>
                <w:szCs w:val="20"/>
                <w:lang w:eastAsia="sk-SK" w:bidi="ar-SA"/>
              </w:rPr>
            </w:pPr>
            <w:r w:rsidRPr="00501E44">
              <w:rPr>
                <w:rFonts w:eastAsia="Times New Roman" w:cs="Times New Roman"/>
                <w:b/>
                <w:bCs/>
                <w:color w:val="000000"/>
                <w:szCs w:val="20"/>
                <w:lang w:eastAsia="sk-SK" w:bidi="ar-SA"/>
              </w:rPr>
              <w:t>35kV</w:t>
            </w:r>
          </w:p>
        </w:tc>
        <w:tc>
          <w:tcPr>
            <w:tcW w:w="0" w:type="auto"/>
            <w:tcBorders>
              <w:top w:val="nil"/>
              <w:left w:val="nil"/>
              <w:bottom w:val="single" w:sz="4" w:space="0" w:color="auto"/>
              <w:right w:val="single" w:sz="4" w:space="0" w:color="auto"/>
            </w:tcBorders>
            <w:shd w:val="clear" w:color="auto" w:fill="auto"/>
            <w:noWrap/>
            <w:vAlign w:val="center"/>
            <w:hideMark/>
          </w:tcPr>
          <w:p w:rsidR="00377B57" w:rsidRPr="00501E44" w:rsidRDefault="00377B57" w:rsidP="00246698">
            <w:pPr>
              <w:jc w:val="center"/>
              <w:rPr>
                <w:rFonts w:eastAsia="Times New Roman" w:cs="Times New Roman"/>
                <w:b/>
                <w:bCs/>
                <w:color w:val="000000"/>
                <w:szCs w:val="20"/>
                <w:lang w:eastAsia="sk-SK" w:bidi="ar-SA"/>
              </w:rPr>
            </w:pPr>
            <w:r w:rsidRPr="00501E44">
              <w:rPr>
                <w:rFonts w:eastAsia="Times New Roman" w:cs="Times New Roman"/>
                <w:b/>
                <w:bCs/>
                <w:color w:val="000000"/>
                <w:szCs w:val="20"/>
                <w:lang w:eastAsia="sk-SK" w:bidi="ar-SA"/>
              </w:rPr>
              <w:t>110kV</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7B57" w:rsidRPr="00501E44" w:rsidRDefault="00377B57" w:rsidP="00246698">
            <w:pPr>
              <w:jc w:val="left"/>
              <w:rPr>
                <w:rFonts w:eastAsia="Times New Roman" w:cs="Times New Roman"/>
                <w:b/>
                <w:bCs/>
                <w:color w:val="000000"/>
                <w:szCs w:val="20"/>
                <w:lang w:eastAsia="sk-SK" w:bidi="ar-SA"/>
              </w:rPr>
            </w:pPr>
          </w:p>
        </w:tc>
        <w:tc>
          <w:tcPr>
            <w:tcW w:w="0" w:type="auto"/>
            <w:tcBorders>
              <w:top w:val="nil"/>
              <w:left w:val="nil"/>
              <w:bottom w:val="single" w:sz="4" w:space="0" w:color="auto"/>
              <w:right w:val="single" w:sz="4" w:space="0" w:color="auto"/>
            </w:tcBorders>
            <w:shd w:val="clear" w:color="auto" w:fill="auto"/>
            <w:noWrap/>
            <w:textDirection w:val="btLr"/>
            <w:vAlign w:val="bottom"/>
            <w:hideMark/>
          </w:tcPr>
          <w:p w:rsidR="00377B57" w:rsidRPr="00501E44" w:rsidRDefault="00377B57" w:rsidP="00246698">
            <w:pPr>
              <w:jc w:val="center"/>
              <w:rPr>
                <w:rFonts w:eastAsia="Times New Roman" w:cs="Times New Roman"/>
                <w:b/>
                <w:bCs/>
                <w:color w:val="000000"/>
                <w:szCs w:val="20"/>
                <w:lang w:eastAsia="sk-SK" w:bidi="ar-SA"/>
              </w:rPr>
            </w:pPr>
            <w:r w:rsidRPr="00501E44">
              <w:rPr>
                <w:rFonts w:eastAsia="Times New Roman" w:cs="Times New Roman"/>
                <w:b/>
                <w:bCs/>
                <w:color w:val="000000"/>
                <w:szCs w:val="20"/>
                <w:lang w:eastAsia="sk-SK" w:bidi="ar-SA"/>
              </w:rPr>
              <w:t>do 0,005MPa</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rsidR="00377B57" w:rsidRPr="00501E44" w:rsidRDefault="00377B57" w:rsidP="00246698">
            <w:pPr>
              <w:jc w:val="center"/>
              <w:rPr>
                <w:rFonts w:eastAsia="Times New Roman" w:cs="Times New Roman"/>
                <w:b/>
                <w:bCs/>
                <w:color w:val="000000"/>
                <w:szCs w:val="20"/>
                <w:lang w:eastAsia="sk-SK" w:bidi="ar-SA"/>
              </w:rPr>
            </w:pPr>
            <w:r w:rsidRPr="00501E44">
              <w:rPr>
                <w:rFonts w:eastAsia="Times New Roman" w:cs="Times New Roman"/>
                <w:b/>
                <w:bCs/>
                <w:color w:val="000000"/>
                <w:szCs w:val="20"/>
                <w:lang w:eastAsia="sk-SK" w:bidi="ar-SA"/>
              </w:rPr>
              <w:t>do 0,3MPa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7B57" w:rsidRPr="00501E44" w:rsidRDefault="00377B57" w:rsidP="00246698">
            <w:pPr>
              <w:jc w:val="left"/>
              <w:rPr>
                <w:rFonts w:eastAsia="Times New Roman" w:cs="Times New Roman"/>
                <w:b/>
                <w:bCs/>
                <w:color w:val="000000"/>
                <w:szCs w:val="20"/>
                <w:lang w:eastAsia="sk-SK"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7B57" w:rsidRPr="00501E44" w:rsidRDefault="00377B57" w:rsidP="00246698">
            <w:pPr>
              <w:jc w:val="left"/>
              <w:rPr>
                <w:rFonts w:eastAsia="Times New Roman" w:cs="Times New Roman"/>
                <w:b/>
                <w:bCs/>
                <w:color w:val="000000"/>
                <w:szCs w:val="20"/>
                <w:lang w:eastAsia="sk-SK"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7B57" w:rsidRPr="00501E44" w:rsidRDefault="00377B57" w:rsidP="00246698">
            <w:pPr>
              <w:jc w:val="left"/>
              <w:rPr>
                <w:rFonts w:eastAsia="Times New Roman" w:cs="Times New Roman"/>
                <w:b/>
                <w:bCs/>
                <w:color w:val="000000"/>
                <w:szCs w:val="20"/>
                <w:lang w:eastAsia="sk-SK"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7B57" w:rsidRPr="00501E44" w:rsidRDefault="00377B57" w:rsidP="00246698">
            <w:pPr>
              <w:jc w:val="left"/>
              <w:rPr>
                <w:rFonts w:eastAsia="Times New Roman" w:cs="Times New Roman"/>
                <w:b/>
                <w:bCs/>
                <w:color w:val="000000"/>
                <w:szCs w:val="20"/>
                <w:lang w:eastAsia="sk-SK" w:bidi="ar-SA"/>
              </w:rPr>
            </w:pPr>
          </w:p>
        </w:tc>
      </w:tr>
      <w:tr w:rsidR="00377B57" w:rsidRPr="00501E44" w:rsidTr="00246698">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377B57" w:rsidRPr="00501E44" w:rsidRDefault="00377B57" w:rsidP="00246698">
            <w:pPr>
              <w:jc w:val="left"/>
              <w:rPr>
                <w:rFonts w:eastAsia="Times New Roman" w:cs="Times New Roman"/>
                <w:b/>
                <w:bCs/>
                <w:color w:val="000000"/>
                <w:szCs w:val="20"/>
                <w:lang w:eastAsia="sk-SK" w:bidi="ar-SA"/>
              </w:rPr>
            </w:pPr>
            <w:r w:rsidRPr="00501E44">
              <w:rPr>
                <w:rFonts w:eastAsia="Times New Roman" w:cs="Times New Roman"/>
                <w:b/>
                <w:bCs/>
                <w:color w:val="000000"/>
                <w:szCs w:val="20"/>
                <w:lang w:eastAsia="sk-SK" w:bidi="ar-SA"/>
              </w:rPr>
              <w:lastRenderedPageBreak/>
              <w:t>Súbeh</w:t>
            </w:r>
          </w:p>
        </w:tc>
        <w:tc>
          <w:tcPr>
            <w:tcW w:w="0" w:type="auto"/>
            <w:tcBorders>
              <w:top w:val="nil"/>
              <w:left w:val="nil"/>
              <w:bottom w:val="single" w:sz="4" w:space="0" w:color="auto"/>
              <w:right w:val="single" w:sz="4" w:space="0" w:color="auto"/>
            </w:tcBorders>
            <w:shd w:val="clear" w:color="auto" w:fill="auto"/>
            <w:noWrap/>
            <w:vAlign w:val="center"/>
            <w:hideMark/>
          </w:tcPr>
          <w:p w:rsidR="00377B57" w:rsidRPr="00501E44" w:rsidRDefault="00377B57" w:rsidP="00246698">
            <w:pPr>
              <w:jc w:val="center"/>
              <w:rPr>
                <w:rFonts w:eastAsia="Times New Roman" w:cs="Times New Roman"/>
                <w:color w:val="000000"/>
                <w:szCs w:val="20"/>
                <w:lang w:eastAsia="sk-SK" w:bidi="ar-SA"/>
              </w:rPr>
            </w:pPr>
            <w:r w:rsidRPr="00501E44">
              <w:rPr>
                <w:rFonts w:eastAsia="Times New Roman" w:cs="Times New Roman"/>
                <w:color w:val="000000"/>
                <w:szCs w:val="20"/>
                <w:lang w:eastAsia="sk-SK" w:bidi="ar-SA"/>
              </w:rPr>
              <w:t>0,05</w:t>
            </w:r>
          </w:p>
        </w:tc>
        <w:tc>
          <w:tcPr>
            <w:tcW w:w="0" w:type="auto"/>
            <w:tcBorders>
              <w:top w:val="nil"/>
              <w:left w:val="nil"/>
              <w:bottom w:val="single" w:sz="4" w:space="0" w:color="auto"/>
              <w:right w:val="single" w:sz="4" w:space="0" w:color="auto"/>
            </w:tcBorders>
            <w:shd w:val="clear" w:color="auto" w:fill="auto"/>
            <w:noWrap/>
            <w:vAlign w:val="center"/>
            <w:hideMark/>
          </w:tcPr>
          <w:p w:rsidR="00377B57" w:rsidRPr="00501E44" w:rsidRDefault="00377B57" w:rsidP="00246698">
            <w:pPr>
              <w:jc w:val="center"/>
              <w:rPr>
                <w:rFonts w:eastAsia="Times New Roman" w:cs="Times New Roman"/>
                <w:color w:val="000000"/>
                <w:szCs w:val="20"/>
                <w:lang w:eastAsia="sk-SK" w:bidi="ar-SA"/>
              </w:rPr>
            </w:pPr>
            <w:r w:rsidRPr="00501E44">
              <w:rPr>
                <w:rFonts w:eastAsia="Times New Roman" w:cs="Times New Roman"/>
                <w:color w:val="000000"/>
                <w:szCs w:val="20"/>
                <w:lang w:eastAsia="sk-SK" w:bidi="ar-SA"/>
              </w:rPr>
              <w:t>0,15</w:t>
            </w:r>
          </w:p>
        </w:tc>
        <w:tc>
          <w:tcPr>
            <w:tcW w:w="0" w:type="auto"/>
            <w:tcBorders>
              <w:top w:val="nil"/>
              <w:left w:val="nil"/>
              <w:bottom w:val="single" w:sz="4" w:space="0" w:color="auto"/>
              <w:right w:val="single" w:sz="4" w:space="0" w:color="auto"/>
            </w:tcBorders>
            <w:shd w:val="clear" w:color="auto" w:fill="auto"/>
            <w:noWrap/>
            <w:vAlign w:val="center"/>
            <w:hideMark/>
          </w:tcPr>
          <w:p w:rsidR="00377B57" w:rsidRPr="00501E44" w:rsidRDefault="00377B57" w:rsidP="00246698">
            <w:pPr>
              <w:jc w:val="center"/>
              <w:rPr>
                <w:rFonts w:eastAsia="Times New Roman" w:cs="Times New Roman"/>
                <w:color w:val="000000"/>
                <w:szCs w:val="20"/>
                <w:lang w:eastAsia="sk-SK" w:bidi="ar-SA"/>
              </w:rPr>
            </w:pPr>
            <w:r w:rsidRPr="00501E44">
              <w:rPr>
                <w:rFonts w:eastAsia="Times New Roman" w:cs="Times New Roman"/>
                <w:color w:val="000000"/>
                <w:szCs w:val="20"/>
                <w:lang w:eastAsia="sk-SK" w:bidi="ar-SA"/>
              </w:rPr>
              <w:t>0,20</w:t>
            </w:r>
          </w:p>
        </w:tc>
        <w:tc>
          <w:tcPr>
            <w:tcW w:w="0" w:type="auto"/>
            <w:tcBorders>
              <w:top w:val="nil"/>
              <w:left w:val="nil"/>
              <w:bottom w:val="single" w:sz="4" w:space="0" w:color="auto"/>
              <w:right w:val="single" w:sz="4" w:space="0" w:color="auto"/>
            </w:tcBorders>
            <w:shd w:val="clear" w:color="auto" w:fill="auto"/>
            <w:noWrap/>
            <w:vAlign w:val="center"/>
            <w:hideMark/>
          </w:tcPr>
          <w:p w:rsidR="00377B57" w:rsidRPr="00501E44" w:rsidRDefault="00377B57" w:rsidP="00246698">
            <w:pPr>
              <w:jc w:val="center"/>
              <w:rPr>
                <w:rFonts w:eastAsia="Times New Roman" w:cs="Times New Roman"/>
                <w:color w:val="000000"/>
                <w:szCs w:val="20"/>
                <w:lang w:eastAsia="sk-SK" w:bidi="ar-SA"/>
              </w:rPr>
            </w:pPr>
            <w:r w:rsidRPr="00501E44">
              <w:rPr>
                <w:rFonts w:eastAsia="Times New Roman" w:cs="Times New Roman"/>
                <w:color w:val="000000"/>
                <w:szCs w:val="20"/>
                <w:lang w:eastAsia="sk-SK" w:bidi="ar-SA"/>
              </w:rPr>
              <w:t>0,20</w:t>
            </w:r>
          </w:p>
        </w:tc>
        <w:tc>
          <w:tcPr>
            <w:tcW w:w="0" w:type="auto"/>
            <w:tcBorders>
              <w:top w:val="nil"/>
              <w:left w:val="nil"/>
              <w:bottom w:val="single" w:sz="4" w:space="0" w:color="auto"/>
              <w:right w:val="single" w:sz="4" w:space="0" w:color="auto"/>
            </w:tcBorders>
            <w:shd w:val="clear" w:color="auto" w:fill="auto"/>
            <w:noWrap/>
            <w:vAlign w:val="center"/>
            <w:hideMark/>
          </w:tcPr>
          <w:p w:rsidR="00377B57" w:rsidRPr="00501E44" w:rsidRDefault="00377B57" w:rsidP="00246698">
            <w:pPr>
              <w:jc w:val="center"/>
              <w:rPr>
                <w:rFonts w:eastAsia="Times New Roman" w:cs="Times New Roman"/>
                <w:color w:val="000000"/>
                <w:szCs w:val="20"/>
                <w:lang w:eastAsia="sk-SK" w:bidi="ar-SA"/>
              </w:rPr>
            </w:pPr>
            <w:r w:rsidRPr="00501E44">
              <w:rPr>
                <w:rFonts w:eastAsia="Times New Roman" w:cs="Times New Roman"/>
                <w:color w:val="000000"/>
                <w:szCs w:val="20"/>
                <w:lang w:eastAsia="sk-SK" w:bidi="ar-SA"/>
              </w:rPr>
              <w:t>0,30</w:t>
            </w:r>
          </w:p>
        </w:tc>
        <w:tc>
          <w:tcPr>
            <w:tcW w:w="0" w:type="auto"/>
            <w:tcBorders>
              <w:top w:val="nil"/>
              <w:left w:val="nil"/>
              <w:bottom w:val="single" w:sz="4" w:space="0" w:color="auto"/>
              <w:right w:val="single" w:sz="4" w:space="0" w:color="auto"/>
            </w:tcBorders>
            <w:shd w:val="clear" w:color="auto" w:fill="auto"/>
            <w:noWrap/>
            <w:vAlign w:val="center"/>
            <w:hideMark/>
          </w:tcPr>
          <w:p w:rsidR="00377B57" w:rsidRPr="00501E44" w:rsidRDefault="00377B57" w:rsidP="00246698">
            <w:pPr>
              <w:jc w:val="center"/>
              <w:rPr>
                <w:rFonts w:eastAsia="Times New Roman" w:cs="Times New Roman"/>
                <w:color w:val="000000"/>
                <w:szCs w:val="20"/>
                <w:lang w:eastAsia="sk-SK" w:bidi="ar-SA"/>
              </w:rPr>
            </w:pPr>
            <w:r w:rsidRPr="00501E44">
              <w:rPr>
                <w:rFonts w:eastAsia="Times New Roman" w:cs="Times New Roman"/>
                <w:color w:val="000000"/>
                <w:szCs w:val="20"/>
                <w:lang w:eastAsia="sk-SK" w:bidi="ar-SA"/>
              </w:rPr>
              <w:t>0,40</w:t>
            </w:r>
          </w:p>
        </w:tc>
        <w:tc>
          <w:tcPr>
            <w:tcW w:w="0" w:type="auto"/>
            <w:tcBorders>
              <w:top w:val="nil"/>
              <w:left w:val="nil"/>
              <w:bottom w:val="single" w:sz="4" w:space="0" w:color="auto"/>
              <w:right w:val="single" w:sz="4" w:space="0" w:color="auto"/>
            </w:tcBorders>
            <w:shd w:val="clear" w:color="auto" w:fill="auto"/>
            <w:noWrap/>
            <w:vAlign w:val="center"/>
            <w:hideMark/>
          </w:tcPr>
          <w:p w:rsidR="00377B57" w:rsidRPr="00501E44" w:rsidRDefault="00377B57" w:rsidP="00246698">
            <w:pPr>
              <w:jc w:val="center"/>
              <w:rPr>
                <w:rFonts w:eastAsia="Times New Roman" w:cs="Times New Roman"/>
                <w:color w:val="000000"/>
                <w:szCs w:val="20"/>
                <w:lang w:eastAsia="sk-SK" w:bidi="ar-SA"/>
              </w:rPr>
            </w:pPr>
            <w:r w:rsidRPr="00501E44">
              <w:rPr>
                <w:rFonts w:eastAsia="Times New Roman" w:cs="Times New Roman"/>
                <w:color w:val="000000"/>
                <w:szCs w:val="20"/>
                <w:lang w:eastAsia="sk-SK" w:bidi="ar-SA"/>
              </w:rPr>
              <w:t>0,60</w:t>
            </w:r>
          </w:p>
        </w:tc>
        <w:tc>
          <w:tcPr>
            <w:tcW w:w="0" w:type="auto"/>
            <w:tcBorders>
              <w:top w:val="nil"/>
              <w:left w:val="nil"/>
              <w:bottom w:val="single" w:sz="4" w:space="0" w:color="auto"/>
              <w:right w:val="single" w:sz="4" w:space="0" w:color="auto"/>
            </w:tcBorders>
            <w:shd w:val="clear" w:color="auto" w:fill="auto"/>
            <w:noWrap/>
            <w:vAlign w:val="center"/>
            <w:hideMark/>
          </w:tcPr>
          <w:p w:rsidR="00377B57" w:rsidRPr="00501E44" w:rsidRDefault="00377B57" w:rsidP="00246698">
            <w:pPr>
              <w:jc w:val="center"/>
              <w:rPr>
                <w:rFonts w:eastAsia="Times New Roman" w:cs="Times New Roman"/>
                <w:color w:val="000000"/>
                <w:szCs w:val="20"/>
                <w:lang w:eastAsia="sk-SK" w:bidi="ar-SA"/>
              </w:rPr>
            </w:pPr>
            <w:r w:rsidRPr="00501E44">
              <w:rPr>
                <w:rFonts w:eastAsia="Times New Roman" w:cs="Times New Roman"/>
                <w:color w:val="000000"/>
                <w:szCs w:val="20"/>
                <w:lang w:eastAsia="sk-SK" w:bidi="ar-SA"/>
              </w:rPr>
              <w:t>0,40</w:t>
            </w:r>
          </w:p>
        </w:tc>
        <w:tc>
          <w:tcPr>
            <w:tcW w:w="0" w:type="auto"/>
            <w:tcBorders>
              <w:top w:val="nil"/>
              <w:left w:val="nil"/>
              <w:bottom w:val="single" w:sz="4" w:space="0" w:color="auto"/>
              <w:right w:val="single" w:sz="4" w:space="0" w:color="auto"/>
            </w:tcBorders>
            <w:shd w:val="clear" w:color="auto" w:fill="auto"/>
            <w:noWrap/>
            <w:vAlign w:val="center"/>
            <w:hideMark/>
          </w:tcPr>
          <w:p w:rsidR="00377B57" w:rsidRPr="00501E44" w:rsidRDefault="00377B57" w:rsidP="00246698">
            <w:pPr>
              <w:jc w:val="center"/>
              <w:rPr>
                <w:rFonts w:eastAsia="Times New Roman" w:cs="Times New Roman"/>
                <w:color w:val="000000"/>
                <w:szCs w:val="20"/>
                <w:lang w:eastAsia="sk-SK" w:bidi="ar-SA"/>
              </w:rPr>
            </w:pPr>
            <w:r w:rsidRPr="00501E44">
              <w:rPr>
                <w:rFonts w:eastAsia="Times New Roman" w:cs="Times New Roman"/>
                <w:color w:val="000000"/>
                <w:szCs w:val="20"/>
                <w:lang w:eastAsia="sk-SK" w:bidi="ar-SA"/>
              </w:rPr>
              <w:t>0,30</w:t>
            </w:r>
          </w:p>
        </w:tc>
        <w:tc>
          <w:tcPr>
            <w:tcW w:w="0" w:type="auto"/>
            <w:tcBorders>
              <w:top w:val="nil"/>
              <w:left w:val="nil"/>
              <w:bottom w:val="single" w:sz="4" w:space="0" w:color="auto"/>
              <w:right w:val="single" w:sz="4" w:space="0" w:color="auto"/>
            </w:tcBorders>
            <w:shd w:val="clear" w:color="auto" w:fill="auto"/>
            <w:noWrap/>
            <w:vAlign w:val="center"/>
            <w:hideMark/>
          </w:tcPr>
          <w:p w:rsidR="00377B57" w:rsidRPr="00501E44" w:rsidRDefault="00377B57" w:rsidP="00246698">
            <w:pPr>
              <w:jc w:val="center"/>
              <w:rPr>
                <w:rFonts w:eastAsia="Times New Roman" w:cs="Times New Roman"/>
                <w:color w:val="000000"/>
                <w:szCs w:val="20"/>
                <w:lang w:eastAsia="sk-SK" w:bidi="ar-SA"/>
              </w:rPr>
            </w:pPr>
            <w:r w:rsidRPr="00501E44">
              <w:rPr>
                <w:rFonts w:eastAsia="Times New Roman" w:cs="Times New Roman"/>
                <w:color w:val="000000"/>
                <w:szCs w:val="20"/>
                <w:lang w:eastAsia="sk-SK" w:bidi="ar-SA"/>
              </w:rPr>
              <w:t>0,10</w:t>
            </w:r>
          </w:p>
        </w:tc>
        <w:tc>
          <w:tcPr>
            <w:tcW w:w="0" w:type="auto"/>
            <w:tcBorders>
              <w:top w:val="nil"/>
              <w:left w:val="nil"/>
              <w:bottom w:val="single" w:sz="4" w:space="0" w:color="auto"/>
              <w:right w:val="single" w:sz="4" w:space="0" w:color="auto"/>
            </w:tcBorders>
            <w:shd w:val="clear" w:color="auto" w:fill="auto"/>
            <w:noWrap/>
            <w:vAlign w:val="center"/>
            <w:hideMark/>
          </w:tcPr>
          <w:p w:rsidR="00377B57" w:rsidRPr="00501E44" w:rsidRDefault="00377B57" w:rsidP="00246698">
            <w:pPr>
              <w:jc w:val="center"/>
              <w:rPr>
                <w:rFonts w:eastAsia="Times New Roman" w:cs="Times New Roman"/>
                <w:color w:val="000000"/>
                <w:szCs w:val="20"/>
                <w:lang w:eastAsia="sk-SK" w:bidi="ar-SA"/>
              </w:rPr>
            </w:pPr>
            <w:r w:rsidRPr="00501E44">
              <w:rPr>
                <w:rFonts w:eastAsia="Times New Roman" w:cs="Times New Roman"/>
                <w:color w:val="000000"/>
                <w:szCs w:val="20"/>
                <w:lang w:eastAsia="sk-SK" w:bidi="ar-SA"/>
              </w:rPr>
              <w:t>0,50</w:t>
            </w:r>
          </w:p>
        </w:tc>
      </w:tr>
      <w:tr w:rsidR="00377B57" w:rsidRPr="00501E44" w:rsidTr="00246698">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377B57" w:rsidRPr="00501E44" w:rsidRDefault="00377B57" w:rsidP="00246698">
            <w:pPr>
              <w:jc w:val="left"/>
              <w:rPr>
                <w:rFonts w:eastAsia="Times New Roman" w:cs="Times New Roman"/>
                <w:b/>
                <w:bCs/>
                <w:color w:val="000000"/>
                <w:szCs w:val="20"/>
                <w:lang w:eastAsia="sk-SK" w:bidi="ar-SA"/>
              </w:rPr>
            </w:pPr>
            <w:r w:rsidRPr="00501E44">
              <w:rPr>
                <w:rFonts w:eastAsia="Times New Roman" w:cs="Times New Roman"/>
                <w:b/>
                <w:bCs/>
                <w:color w:val="000000"/>
                <w:szCs w:val="20"/>
                <w:lang w:eastAsia="sk-SK" w:bidi="ar-SA"/>
              </w:rPr>
              <w:t>Križovanie</w:t>
            </w:r>
          </w:p>
        </w:tc>
        <w:tc>
          <w:tcPr>
            <w:tcW w:w="0" w:type="auto"/>
            <w:tcBorders>
              <w:top w:val="nil"/>
              <w:left w:val="nil"/>
              <w:bottom w:val="single" w:sz="4" w:space="0" w:color="auto"/>
              <w:right w:val="single" w:sz="4" w:space="0" w:color="auto"/>
            </w:tcBorders>
            <w:shd w:val="clear" w:color="auto" w:fill="auto"/>
            <w:noWrap/>
            <w:vAlign w:val="center"/>
            <w:hideMark/>
          </w:tcPr>
          <w:p w:rsidR="00377B57" w:rsidRPr="00501E44" w:rsidRDefault="00377B57" w:rsidP="00246698">
            <w:pPr>
              <w:jc w:val="center"/>
              <w:rPr>
                <w:rFonts w:eastAsia="Times New Roman" w:cs="Times New Roman"/>
                <w:color w:val="000000"/>
                <w:szCs w:val="20"/>
                <w:lang w:eastAsia="sk-SK" w:bidi="ar-SA"/>
              </w:rPr>
            </w:pPr>
            <w:r w:rsidRPr="00501E44">
              <w:rPr>
                <w:rFonts w:eastAsia="Times New Roman" w:cs="Times New Roman"/>
                <w:color w:val="000000"/>
                <w:szCs w:val="20"/>
                <w:lang w:eastAsia="sk-SK" w:bidi="ar-SA"/>
              </w:rPr>
              <w:t>0,05</w:t>
            </w:r>
          </w:p>
        </w:tc>
        <w:tc>
          <w:tcPr>
            <w:tcW w:w="0" w:type="auto"/>
            <w:tcBorders>
              <w:top w:val="nil"/>
              <w:left w:val="nil"/>
              <w:bottom w:val="single" w:sz="4" w:space="0" w:color="auto"/>
              <w:right w:val="single" w:sz="4" w:space="0" w:color="auto"/>
            </w:tcBorders>
            <w:shd w:val="clear" w:color="auto" w:fill="auto"/>
            <w:noWrap/>
            <w:vAlign w:val="center"/>
            <w:hideMark/>
          </w:tcPr>
          <w:p w:rsidR="00377B57" w:rsidRPr="00501E44" w:rsidRDefault="00377B57" w:rsidP="00246698">
            <w:pPr>
              <w:jc w:val="center"/>
              <w:rPr>
                <w:rFonts w:eastAsia="Times New Roman" w:cs="Times New Roman"/>
                <w:color w:val="000000"/>
                <w:szCs w:val="20"/>
                <w:lang w:eastAsia="sk-SK" w:bidi="ar-SA"/>
              </w:rPr>
            </w:pPr>
            <w:r w:rsidRPr="00501E44">
              <w:rPr>
                <w:rFonts w:eastAsia="Times New Roman" w:cs="Times New Roman"/>
                <w:color w:val="000000"/>
                <w:szCs w:val="20"/>
                <w:lang w:eastAsia="sk-SK" w:bidi="ar-SA"/>
              </w:rPr>
              <w:t>0,15</w:t>
            </w:r>
          </w:p>
        </w:tc>
        <w:tc>
          <w:tcPr>
            <w:tcW w:w="0" w:type="auto"/>
            <w:tcBorders>
              <w:top w:val="nil"/>
              <w:left w:val="nil"/>
              <w:bottom w:val="single" w:sz="4" w:space="0" w:color="auto"/>
              <w:right w:val="single" w:sz="4" w:space="0" w:color="auto"/>
            </w:tcBorders>
            <w:shd w:val="clear" w:color="auto" w:fill="auto"/>
            <w:noWrap/>
            <w:vAlign w:val="center"/>
            <w:hideMark/>
          </w:tcPr>
          <w:p w:rsidR="00377B57" w:rsidRPr="00501E44" w:rsidRDefault="00377B57" w:rsidP="00246698">
            <w:pPr>
              <w:jc w:val="center"/>
              <w:rPr>
                <w:rFonts w:eastAsia="Times New Roman" w:cs="Times New Roman"/>
                <w:color w:val="000000"/>
                <w:szCs w:val="20"/>
                <w:lang w:eastAsia="sk-SK" w:bidi="ar-SA"/>
              </w:rPr>
            </w:pPr>
            <w:r w:rsidRPr="00501E44">
              <w:rPr>
                <w:rFonts w:eastAsia="Times New Roman" w:cs="Times New Roman"/>
                <w:color w:val="000000"/>
                <w:szCs w:val="20"/>
                <w:lang w:eastAsia="sk-SK" w:bidi="ar-SA"/>
              </w:rPr>
              <w:t>0,20</w:t>
            </w:r>
          </w:p>
        </w:tc>
        <w:tc>
          <w:tcPr>
            <w:tcW w:w="0" w:type="auto"/>
            <w:tcBorders>
              <w:top w:val="nil"/>
              <w:left w:val="nil"/>
              <w:bottom w:val="single" w:sz="4" w:space="0" w:color="auto"/>
              <w:right w:val="single" w:sz="4" w:space="0" w:color="auto"/>
            </w:tcBorders>
            <w:shd w:val="clear" w:color="auto" w:fill="auto"/>
            <w:noWrap/>
            <w:vAlign w:val="center"/>
            <w:hideMark/>
          </w:tcPr>
          <w:p w:rsidR="00377B57" w:rsidRPr="00501E44" w:rsidRDefault="00377B57" w:rsidP="00246698">
            <w:pPr>
              <w:jc w:val="center"/>
              <w:rPr>
                <w:rFonts w:eastAsia="Times New Roman" w:cs="Times New Roman"/>
                <w:color w:val="000000"/>
                <w:szCs w:val="20"/>
                <w:lang w:eastAsia="sk-SK" w:bidi="ar-SA"/>
              </w:rPr>
            </w:pPr>
            <w:r w:rsidRPr="00501E44">
              <w:rPr>
                <w:rFonts w:eastAsia="Times New Roman" w:cs="Times New Roman"/>
                <w:color w:val="000000"/>
                <w:szCs w:val="20"/>
                <w:lang w:eastAsia="sk-SK" w:bidi="ar-SA"/>
              </w:rPr>
              <w:t>0,20</w:t>
            </w:r>
          </w:p>
        </w:tc>
        <w:tc>
          <w:tcPr>
            <w:tcW w:w="0" w:type="auto"/>
            <w:tcBorders>
              <w:top w:val="nil"/>
              <w:left w:val="nil"/>
              <w:bottom w:val="single" w:sz="4" w:space="0" w:color="auto"/>
              <w:right w:val="single" w:sz="4" w:space="0" w:color="auto"/>
            </w:tcBorders>
            <w:shd w:val="clear" w:color="auto" w:fill="auto"/>
            <w:noWrap/>
            <w:vAlign w:val="center"/>
            <w:hideMark/>
          </w:tcPr>
          <w:p w:rsidR="00377B57" w:rsidRPr="00501E44" w:rsidRDefault="00377B57" w:rsidP="00246698">
            <w:pPr>
              <w:jc w:val="center"/>
              <w:rPr>
                <w:rFonts w:eastAsia="Times New Roman" w:cs="Times New Roman"/>
                <w:color w:val="000000"/>
                <w:szCs w:val="20"/>
                <w:lang w:eastAsia="sk-SK" w:bidi="ar-SA"/>
              </w:rPr>
            </w:pPr>
            <w:r w:rsidRPr="00501E44">
              <w:rPr>
                <w:rFonts w:eastAsia="Times New Roman" w:cs="Times New Roman"/>
                <w:color w:val="000000"/>
                <w:szCs w:val="20"/>
                <w:lang w:eastAsia="sk-SK" w:bidi="ar-SA"/>
              </w:rPr>
              <w:t>0,30</w:t>
            </w:r>
          </w:p>
        </w:tc>
        <w:tc>
          <w:tcPr>
            <w:tcW w:w="0" w:type="auto"/>
            <w:tcBorders>
              <w:top w:val="nil"/>
              <w:left w:val="nil"/>
              <w:bottom w:val="single" w:sz="4" w:space="0" w:color="auto"/>
              <w:right w:val="single" w:sz="4" w:space="0" w:color="auto"/>
            </w:tcBorders>
            <w:shd w:val="clear" w:color="auto" w:fill="auto"/>
            <w:noWrap/>
            <w:vAlign w:val="center"/>
            <w:hideMark/>
          </w:tcPr>
          <w:p w:rsidR="00377B57" w:rsidRPr="00501E44" w:rsidRDefault="00377B57" w:rsidP="00246698">
            <w:pPr>
              <w:jc w:val="center"/>
              <w:rPr>
                <w:rFonts w:eastAsia="Times New Roman" w:cs="Times New Roman"/>
                <w:color w:val="000000"/>
                <w:szCs w:val="20"/>
                <w:lang w:eastAsia="sk-SK" w:bidi="ar-SA"/>
              </w:rPr>
            </w:pPr>
            <w:r w:rsidRPr="00501E44">
              <w:rPr>
                <w:rFonts w:eastAsia="Times New Roman" w:cs="Times New Roman"/>
                <w:color w:val="000000"/>
                <w:szCs w:val="20"/>
                <w:lang w:eastAsia="sk-SK" w:bidi="ar-SA"/>
              </w:rPr>
              <w:t>0,1*</w:t>
            </w:r>
          </w:p>
        </w:tc>
        <w:tc>
          <w:tcPr>
            <w:tcW w:w="0" w:type="auto"/>
            <w:tcBorders>
              <w:top w:val="nil"/>
              <w:left w:val="nil"/>
              <w:bottom w:val="single" w:sz="4" w:space="0" w:color="auto"/>
              <w:right w:val="single" w:sz="4" w:space="0" w:color="auto"/>
            </w:tcBorders>
            <w:shd w:val="clear" w:color="auto" w:fill="auto"/>
            <w:noWrap/>
            <w:vAlign w:val="center"/>
            <w:hideMark/>
          </w:tcPr>
          <w:p w:rsidR="00377B57" w:rsidRPr="00501E44" w:rsidRDefault="00377B57" w:rsidP="00246698">
            <w:pPr>
              <w:jc w:val="center"/>
              <w:rPr>
                <w:rFonts w:eastAsia="Times New Roman" w:cs="Times New Roman"/>
                <w:color w:val="000000"/>
                <w:szCs w:val="20"/>
                <w:lang w:eastAsia="sk-SK" w:bidi="ar-SA"/>
              </w:rPr>
            </w:pPr>
            <w:r w:rsidRPr="00501E44">
              <w:rPr>
                <w:rFonts w:eastAsia="Times New Roman" w:cs="Times New Roman"/>
                <w:color w:val="000000"/>
                <w:szCs w:val="20"/>
                <w:lang w:eastAsia="sk-SK" w:bidi="ar-SA"/>
              </w:rPr>
              <w:t>0,1*</w:t>
            </w:r>
          </w:p>
        </w:tc>
        <w:tc>
          <w:tcPr>
            <w:tcW w:w="0" w:type="auto"/>
            <w:tcBorders>
              <w:top w:val="nil"/>
              <w:left w:val="nil"/>
              <w:bottom w:val="single" w:sz="4" w:space="0" w:color="auto"/>
              <w:right w:val="single" w:sz="4" w:space="0" w:color="auto"/>
            </w:tcBorders>
            <w:shd w:val="clear" w:color="auto" w:fill="auto"/>
            <w:noWrap/>
            <w:vAlign w:val="center"/>
            <w:hideMark/>
          </w:tcPr>
          <w:p w:rsidR="00377B57" w:rsidRPr="00501E44" w:rsidRDefault="00377B57" w:rsidP="00246698">
            <w:pPr>
              <w:jc w:val="center"/>
              <w:rPr>
                <w:rFonts w:eastAsia="Times New Roman" w:cs="Times New Roman"/>
                <w:color w:val="000000"/>
                <w:szCs w:val="20"/>
                <w:lang w:eastAsia="sk-SK" w:bidi="ar-SA"/>
              </w:rPr>
            </w:pPr>
            <w:r w:rsidRPr="00501E44">
              <w:rPr>
                <w:rFonts w:eastAsia="Times New Roman" w:cs="Times New Roman"/>
                <w:color w:val="000000"/>
                <w:szCs w:val="20"/>
                <w:lang w:eastAsia="sk-SK" w:bidi="ar-SA"/>
              </w:rPr>
              <w:t>0,40</w:t>
            </w:r>
          </w:p>
        </w:tc>
        <w:tc>
          <w:tcPr>
            <w:tcW w:w="0" w:type="auto"/>
            <w:tcBorders>
              <w:top w:val="nil"/>
              <w:left w:val="nil"/>
              <w:bottom w:val="single" w:sz="4" w:space="0" w:color="auto"/>
              <w:right w:val="single" w:sz="4" w:space="0" w:color="auto"/>
            </w:tcBorders>
            <w:shd w:val="clear" w:color="auto" w:fill="auto"/>
            <w:noWrap/>
            <w:vAlign w:val="center"/>
            <w:hideMark/>
          </w:tcPr>
          <w:p w:rsidR="00377B57" w:rsidRPr="00501E44" w:rsidRDefault="00377B57" w:rsidP="00246698">
            <w:pPr>
              <w:jc w:val="center"/>
              <w:rPr>
                <w:rFonts w:eastAsia="Times New Roman" w:cs="Times New Roman"/>
                <w:color w:val="000000"/>
                <w:szCs w:val="20"/>
                <w:lang w:eastAsia="sk-SK" w:bidi="ar-SA"/>
              </w:rPr>
            </w:pPr>
            <w:r w:rsidRPr="00501E44">
              <w:rPr>
                <w:rFonts w:eastAsia="Times New Roman" w:cs="Times New Roman"/>
                <w:color w:val="000000"/>
                <w:szCs w:val="20"/>
                <w:lang w:eastAsia="sk-SK" w:bidi="ar-SA"/>
              </w:rPr>
              <w:t>0,30</w:t>
            </w:r>
          </w:p>
        </w:tc>
        <w:tc>
          <w:tcPr>
            <w:tcW w:w="0" w:type="auto"/>
            <w:tcBorders>
              <w:top w:val="nil"/>
              <w:left w:val="nil"/>
              <w:bottom w:val="single" w:sz="4" w:space="0" w:color="auto"/>
              <w:right w:val="single" w:sz="4" w:space="0" w:color="auto"/>
            </w:tcBorders>
            <w:shd w:val="clear" w:color="auto" w:fill="auto"/>
            <w:noWrap/>
            <w:vAlign w:val="center"/>
            <w:hideMark/>
          </w:tcPr>
          <w:p w:rsidR="00377B57" w:rsidRPr="00501E44" w:rsidRDefault="00377B57" w:rsidP="00246698">
            <w:pPr>
              <w:jc w:val="center"/>
              <w:rPr>
                <w:rFonts w:eastAsia="Times New Roman" w:cs="Times New Roman"/>
                <w:color w:val="000000"/>
                <w:szCs w:val="20"/>
                <w:lang w:eastAsia="sk-SK" w:bidi="ar-SA"/>
              </w:rPr>
            </w:pPr>
            <w:r w:rsidRPr="00501E44">
              <w:rPr>
                <w:rFonts w:eastAsia="Times New Roman" w:cs="Times New Roman"/>
                <w:color w:val="000000"/>
                <w:szCs w:val="20"/>
                <w:lang w:eastAsia="sk-SK" w:bidi="ar-SA"/>
              </w:rPr>
              <w:t>0,30</w:t>
            </w:r>
          </w:p>
        </w:tc>
        <w:tc>
          <w:tcPr>
            <w:tcW w:w="0" w:type="auto"/>
            <w:tcBorders>
              <w:top w:val="nil"/>
              <w:left w:val="nil"/>
              <w:bottom w:val="single" w:sz="4" w:space="0" w:color="auto"/>
              <w:right w:val="single" w:sz="4" w:space="0" w:color="auto"/>
            </w:tcBorders>
            <w:shd w:val="clear" w:color="auto" w:fill="auto"/>
            <w:noWrap/>
            <w:vAlign w:val="center"/>
            <w:hideMark/>
          </w:tcPr>
          <w:p w:rsidR="00377B57" w:rsidRPr="00501E44" w:rsidRDefault="00377B57" w:rsidP="00246698">
            <w:pPr>
              <w:jc w:val="center"/>
              <w:rPr>
                <w:rFonts w:eastAsia="Times New Roman" w:cs="Times New Roman"/>
                <w:color w:val="000000"/>
                <w:szCs w:val="20"/>
                <w:lang w:eastAsia="sk-SK" w:bidi="ar-SA"/>
              </w:rPr>
            </w:pPr>
            <w:r w:rsidRPr="00501E44">
              <w:rPr>
                <w:rFonts w:eastAsia="Times New Roman" w:cs="Times New Roman"/>
                <w:color w:val="000000"/>
                <w:szCs w:val="20"/>
                <w:lang w:eastAsia="sk-SK" w:bidi="ar-SA"/>
              </w:rPr>
              <w:t>0,30</w:t>
            </w:r>
          </w:p>
        </w:tc>
      </w:tr>
    </w:tbl>
    <w:p w:rsidR="00E768FA" w:rsidRPr="009E17A1" w:rsidRDefault="00E768FA" w:rsidP="00E768FA">
      <w:pPr>
        <w:pStyle w:val="Nadpis2"/>
      </w:pPr>
      <w:r w:rsidRPr="009E17A1">
        <w:t>Dokumentácia skutočného realizovania stavby</w:t>
      </w:r>
    </w:p>
    <w:p w:rsidR="00E768FA" w:rsidRPr="009E17A1" w:rsidRDefault="00E768FA" w:rsidP="00E768FA">
      <w:pPr>
        <w:rPr>
          <w:rFonts w:cs="Arial"/>
        </w:rPr>
      </w:pPr>
      <w:r w:rsidRPr="009E17A1">
        <w:rPr>
          <w:rFonts w:cs="Arial"/>
        </w:rPr>
        <w:t xml:space="preserve">Po zrealizovaní objektu je potrebné vypracovať dokumentáciu skutočného realizovania stavby DSRS, zameranie vedenia káblového rozvodu </w:t>
      </w:r>
      <w:r>
        <w:rPr>
          <w:rFonts w:cs="Arial"/>
        </w:rPr>
        <w:t>a</w:t>
      </w:r>
      <w:r w:rsidRPr="009E17A1">
        <w:rPr>
          <w:rFonts w:cs="Arial"/>
        </w:rPr>
        <w:t> dokumentáciu odovzdať v JTSK súradniciach v triede presnosti 3 v digitálnej forme správcovi objektu.</w:t>
      </w:r>
    </w:p>
    <w:p w:rsidR="00E768FA" w:rsidRDefault="00E768FA" w:rsidP="00E768FA">
      <w:pPr>
        <w:pStyle w:val="Nadpis1"/>
      </w:pPr>
      <w:r w:rsidRPr="009E17A1">
        <w:t>POPIS FUNKČNÉHO A TECHNICKÉHO RIEŠENIA</w:t>
      </w:r>
    </w:p>
    <w:p w:rsidR="00BE4786" w:rsidRDefault="00420D8E" w:rsidP="00ED017F">
      <w:r>
        <w:t xml:space="preserve">Navrhované verejné osvetlenie na miestnej komunikácii a moste </w:t>
      </w:r>
      <w:proofErr w:type="spellStart"/>
      <w:r>
        <w:t>Baratoky</w:t>
      </w:r>
      <w:proofErr w:type="spellEnd"/>
      <w:r>
        <w:t xml:space="preserve"> bude </w:t>
      </w:r>
      <w:proofErr w:type="spellStart"/>
      <w:r>
        <w:t>nepojené</w:t>
      </w:r>
      <w:proofErr w:type="spellEnd"/>
      <w:r>
        <w:t xml:space="preserve"> z jestvujúceho nadzemného rozvodu VO</w:t>
      </w:r>
      <w:r w:rsidR="00F266E6">
        <w:t xml:space="preserve"> </w:t>
      </w:r>
      <w:r>
        <w:t>zo stožiara č.</w:t>
      </w:r>
      <w:r w:rsidR="00BE4786">
        <w:t>8/6</w:t>
      </w:r>
      <w:r w:rsidR="00136353">
        <w:t xml:space="preserve"> (z rozvádzača RVO8)</w:t>
      </w:r>
      <w:r w:rsidR="009B4128">
        <w:t>, po výmene vodičov NFA2X 2x25mm2 za NFA2X 4x25mm2 od stožiara 8/3 po stožiar 8/6</w:t>
      </w:r>
      <w:r w:rsidR="00BE4786">
        <w:t xml:space="preserve">, na ktorom za zriadi prechod vzduch/zem, osadením istiacej skrinky ISVO (3x16A), zriadením zvodičov prepätia LVA-440, zvod sa ochráni oceľovou rúrkou </w:t>
      </w:r>
      <w:r w:rsidR="00136353">
        <w:sym w:font="Symbol" w:char="F066"/>
      </w:r>
      <w:r w:rsidR="00BE4786">
        <w:t>50</w:t>
      </w:r>
      <w:r w:rsidR="00F266E6">
        <w:t xml:space="preserve"> do výšky 3m</w:t>
      </w:r>
      <w:r w:rsidR="00BE4786">
        <w:t xml:space="preserve">. Káblový rozvod bude </w:t>
      </w:r>
      <w:r w:rsidR="00136353">
        <w:t>realizovaný</w:t>
      </w:r>
      <w:r w:rsidR="00BE4786">
        <w:t xml:space="preserve"> káblom AYKY-J 4x25mm2 a bude slučkovaný v stožiarových rozvodniciach.</w:t>
      </w:r>
    </w:p>
    <w:p w:rsidR="00BE4786" w:rsidRDefault="00BE4786" w:rsidP="00ED017F">
      <w:r>
        <w:t xml:space="preserve">Na osvetlenie komunikácie je uvažovaná jednostranná osvetľovacia sústava na oceľových stožiaroch výšky 10m (miestna komunikácia so združeným chodníkom pre peších a cyklistov vrátane výložníkov 1,5m) a 8m (miestna komunikácia pred a za mostom bez chodníka, </w:t>
      </w:r>
      <w:r w:rsidR="00A11E0C">
        <w:t xml:space="preserve">dvojité výložníky na osvetlenie cesty, </w:t>
      </w:r>
      <w:r w:rsidR="0050275A">
        <w:t>chodníka a lávky pre peších</w:t>
      </w:r>
      <w:r>
        <w:t>) na základe svetelno-technického výpočtu. Stožiare budú votknuté do betónových základov vrátane prechodu káblov</w:t>
      </w:r>
      <w:r w:rsidR="00F266E6">
        <w:t xml:space="preserve"> cez základy</w:t>
      </w:r>
      <w:r>
        <w:t>.</w:t>
      </w:r>
    </w:p>
    <w:p w:rsidR="002A7B6F" w:rsidRDefault="00450666" w:rsidP="002A7B6F">
      <w:r>
        <w:t>Uvažované sv</w:t>
      </w:r>
      <w:r w:rsidR="00CE6DA2">
        <w:t>i</w:t>
      </w:r>
      <w:r>
        <w:t xml:space="preserve">etidlá sú typu LED BGP 621, </w:t>
      </w:r>
      <w:r w:rsidR="00CE6DA2" w:rsidRPr="00CE6DA2">
        <w:t>9000lm, DM10, 3000K, 55W</w:t>
      </w:r>
      <w:r w:rsidR="00C366C8">
        <w:t>, CONSTAFLUX, riadenie CITYTOUCH</w:t>
      </w:r>
      <w:r w:rsidR="00CE6DA2">
        <w:t xml:space="preserve"> pre osvetlenie komunikácie a </w:t>
      </w:r>
      <w:r w:rsidR="00CE6DA2" w:rsidRPr="00CE6DA2">
        <w:t>LED, BGP623, 16000lm, DPL/DPR, 5700K, 120W</w:t>
      </w:r>
      <w:r w:rsidR="00CE6DA2">
        <w:t xml:space="preserve"> </w:t>
      </w:r>
      <w:r w:rsidR="00C366C8">
        <w:t xml:space="preserve">, CONSTAFLUX, riadenie CITYTOUCH </w:t>
      </w:r>
      <w:r w:rsidR="00CE6DA2">
        <w:t>pre osvetlenie priechodu pre peších.</w:t>
      </w:r>
      <w:r w:rsidR="00D35E03">
        <w:t xml:space="preserve"> </w:t>
      </w:r>
      <w:r w:rsidR="00D35E03" w:rsidRPr="00D35E03">
        <w:rPr>
          <w:b/>
        </w:rPr>
        <w:t>Svietidlá podliehajú schváleniu správcu objektu.</w:t>
      </w:r>
    </w:p>
    <w:p w:rsidR="002A7B6F" w:rsidRDefault="002A7B6F" w:rsidP="002A7B6F">
      <w:r>
        <w:t>Kotvenie stožiara č. 8/63 na moste ako aj prechod káblov cez most rieši objekt mosta – SO 200-00.</w:t>
      </w:r>
    </w:p>
    <w:p w:rsidR="0063496A" w:rsidRDefault="0063496A" w:rsidP="00ED017F">
      <w:r>
        <w:t xml:space="preserve">V km 0,147 miestnej komunikácie je uvažovaný priechod pre chodcov, ktorý sa uvažuje </w:t>
      </w:r>
      <w:r w:rsidR="002A7B6F">
        <w:t>osvetliť</w:t>
      </w:r>
      <w:r>
        <w:t xml:space="preserve"> asymetrickými sv</w:t>
      </w:r>
      <w:r w:rsidR="00AA142F">
        <w:t>i</w:t>
      </w:r>
      <w:r>
        <w:t>etidlami na stožiaroch OSUD-OP-06</w:t>
      </w:r>
      <w:r w:rsidR="002A7B6F">
        <w:t xml:space="preserve"> (6m)</w:t>
      </w:r>
      <w:r>
        <w:t>, výložníky 4m a 3,5m. Stožiare budú zaslučkované do navrhovaného káblového rozvodu.</w:t>
      </w:r>
    </w:p>
    <w:p w:rsidR="00ED017F" w:rsidRDefault="00BE4786" w:rsidP="00ED017F">
      <w:r>
        <w:t>Káb</w:t>
      </w:r>
      <w:r w:rsidR="0063496A">
        <w:t>le</w:t>
      </w:r>
      <w:r>
        <w:t xml:space="preserve"> VO bud</w:t>
      </w:r>
      <w:r w:rsidR="0063496A">
        <w:t>ú</w:t>
      </w:r>
      <w:r>
        <w:t xml:space="preserve"> uložen</w:t>
      </w:r>
      <w:r w:rsidR="0063496A">
        <w:t>é</w:t>
      </w:r>
      <w:r>
        <w:t xml:space="preserve"> v celej dĺžke v chráničke HDPE</w:t>
      </w:r>
      <w:r w:rsidR="005F03D3">
        <w:sym w:font="Symbol" w:char="F066"/>
      </w:r>
      <w:r>
        <w:t>110, pod komunikáciami budú zriadené káblové podchody z</w:t>
      </w:r>
      <w:r w:rsidR="0063496A">
        <w:t xml:space="preserve"> dvojice </w:t>
      </w:r>
      <w:r>
        <w:t>obetónovaných rúr HDPE</w:t>
      </w:r>
      <w:r w:rsidR="005F03D3">
        <w:sym w:font="Symbol" w:char="F066"/>
      </w:r>
      <w:r>
        <w:t>110</w:t>
      </w:r>
      <w:r w:rsidR="0063496A">
        <w:t xml:space="preserve"> s min. krytím 1m od povrchu komunikácie</w:t>
      </w:r>
      <w:r>
        <w:t>.</w:t>
      </w:r>
    </w:p>
    <w:p w:rsidR="00ED017F" w:rsidRDefault="005F03D3" w:rsidP="00ED017F">
      <w:r>
        <w:t>Osvetľovacie stožiare budú pospájané uzemňovacím pásom FeZn 30x4, ktorý sa uloží na dno výkopu. Napojenie stožiarov na uzemňovací pás bude realizované typovými svorkami drôtom FeZn</w:t>
      </w:r>
      <w:r>
        <w:sym w:font="Symbol" w:char="F066"/>
      </w:r>
      <w:r>
        <w:t>10.</w:t>
      </w:r>
    </w:p>
    <w:p w:rsidR="001C4A65" w:rsidRDefault="001C4A65" w:rsidP="001C4A65">
      <w:r w:rsidRPr="005F463C">
        <w:rPr>
          <w:bCs/>
        </w:rPr>
        <w:t>Ochrana pred prepätím bude riešená v rozvádzači RVO</w:t>
      </w:r>
      <w:r>
        <w:rPr>
          <w:bCs/>
        </w:rPr>
        <w:t xml:space="preserve"> zvodičom bleskových prúdov </w:t>
      </w:r>
      <w:r w:rsidR="00860B34">
        <w:rPr>
          <w:bCs/>
        </w:rPr>
        <w:t>typu</w:t>
      </w:r>
      <w:r>
        <w:rPr>
          <w:bCs/>
        </w:rPr>
        <w:t xml:space="preserve"> 1</w:t>
      </w:r>
      <w:r w:rsidR="00860B34">
        <w:rPr>
          <w:bCs/>
        </w:rPr>
        <w:t>+2</w:t>
      </w:r>
      <w:r w:rsidRPr="005F463C">
        <w:rPr>
          <w:bCs/>
        </w:rPr>
        <w:t xml:space="preserve"> a v jednotlivých svietidlách resp. stožiarových rozvodniciach koordinovanými zvodičmi prepätia resp. koordinovanými prepäťovými ochranami.</w:t>
      </w:r>
      <w:r w:rsidRPr="00981F2E">
        <w:t xml:space="preserve"> </w:t>
      </w:r>
    </w:p>
    <w:p w:rsidR="00ED017F" w:rsidRDefault="002A7B6F" w:rsidP="00ED017F">
      <w:r>
        <w:t>Stožiare budú osadené podľa výkresu č. 5.</w:t>
      </w:r>
    </w:p>
    <w:p w:rsidR="00981F2E" w:rsidRDefault="00981F2E" w:rsidP="00981F2E">
      <w:r>
        <w:t>V rámci objektu sa zrealizuje demontáž osvetľovacieho stožiara č.5/59 vrátane jeho vzdušného napojenia.</w:t>
      </w:r>
    </w:p>
    <w:p w:rsidR="001017B7" w:rsidRPr="00AF4A3B" w:rsidRDefault="001017B7" w:rsidP="001017B7">
      <w:pPr>
        <w:pStyle w:val="Nadpis2"/>
      </w:pPr>
      <w:r w:rsidRPr="00AF4A3B">
        <w:t>Uvedenie zariadenia do prevádzky a údržba zariadenia</w:t>
      </w:r>
    </w:p>
    <w:p w:rsidR="001017B7" w:rsidRPr="00AF4A3B" w:rsidRDefault="001017B7" w:rsidP="001017B7">
      <w:pPr>
        <w:rPr>
          <w:lang w:bidi="ar-SA"/>
        </w:rPr>
      </w:pPr>
      <w:r w:rsidRPr="00AF4A3B">
        <w:rPr>
          <w:lang w:bidi="ar-SA"/>
        </w:rPr>
        <w:t>Po ukončení realizácie  objektu je potrebné vykonať odbornú prehliadku a skúšku elektrického zariadenia OPaOS v zmysle vyhl. MPSVaR 508/2009 Z. z.. Správca objektu je povinný zriadenie udržiavať v prevádzkyschopnom stave tak, aby neohrozovalo bezpečnosť a majetok a tak aby nespôsobovalo poruchy v distribučnej sústave.</w:t>
      </w:r>
    </w:p>
    <w:p w:rsidR="001017B7" w:rsidRPr="00AF4A3B" w:rsidRDefault="001017B7" w:rsidP="001017B7">
      <w:r w:rsidRPr="00AF4A3B">
        <w:t>Osvet</w:t>
      </w:r>
      <w:r w:rsidRPr="00AF4A3B">
        <w:rPr>
          <w:rFonts w:hint="eastAsia"/>
        </w:rPr>
        <w:t>ľ</w:t>
      </w:r>
      <w:r w:rsidRPr="00AF4A3B">
        <w:t xml:space="preserve">ovacie telesá je nutné </w:t>
      </w:r>
      <w:r w:rsidRPr="00AF4A3B">
        <w:rPr>
          <w:rFonts w:hint="eastAsia"/>
        </w:rPr>
        <w:t>č</w:t>
      </w:r>
      <w:r w:rsidRPr="00AF4A3B">
        <w:t>isti</w:t>
      </w:r>
      <w:r w:rsidRPr="00AF4A3B">
        <w:rPr>
          <w:rFonts w:hint="eastAsia"/>
        </w:rPr>
        <w:t>ť</w:t>
      </w:r>
      <w:r w:rsidRPr="00AF4A3B">
        <w:t xml:space="preserve"> v závislosti od poklesu intenzity osvetlenia s oh</w:t>
      </w:r>
      <w:r w:rsidRPr="00AF4A3B">
        <w:rPr>
          <w:rFonts w:hint="eastAsia"/>
        </w:rPr>
        <w:t>ľ</w:t>
      </w:r>
      <w:r w:rsidRPr="00AF4A3B">
        <w:t>adom na stupe</w:t>
      </w:r>
      <w:r w:rsidRPr="00AF4A3B">
        <w:rPr>
          <w:rFonts w:hint="eastAsia"/>
        </w:rPr>
        <w:t>ň</w:t>
      </w:r>
      <w:r w:rsidRPr="00AF4A3B">
        <w:t xml:space="preserve"> zne</w:t>
      </w:r>
      <w:r w:rsidRPr="00AF4A3B">
        <w:rPr>
          <w:rFonts w:hint="eastAsia"/>
        </w:rPr>
        <w:t>č</w:t>
      </w:r>
      <w:r w:rsidRPr="00AF4A3B">
        <w:t xml:space="preserve">istenia v danej lokalite. Svetelné zdroje majú predpokladanú životnosť udávanú výrobcom 100 000 hod. prevádzky. Pre </w:t>
      </w:r>
      <w:r w:rsidRPr="00AF4A3B">
        <w:rPr>
          <w:rFonts w:hint="eastAsia"/>
        </w:rPr>
        <w:t>č</w:t>
      </w:r>
      <w:r w:rsidRPr="00AF4A3B">
        <w:t>istenie a výmenu svetelných zdrojov stožiarového osvetlenia je potrebné používa</w:t>
      </w:r>
      <w:r w:rsidRPr="00AF4A3B">
        <w:rPr>
          <w:rFonts w:hint="eastAsia"/>
        </w:rPr>
        <w:t>ť</w:t>
      </w:r>
      <w:r w:rsidRPr="00AF4A3B">
        <w:t xml:space="preserve"> vhodné mechaniza</w:t>
      </w:r>
      <w:r w:rsidRPr="00AF4A3B">
        <w:rPr>
          <w:rFonts w:hint="eastAsia"/>
        </w:rPr>
        <w:t>č</w:t>
      </w:r>
      <w:r w:rsidRPr="00AF4A3B">
        <w:t xml:space="preserve">né prostriedky napr. výsuvné </w:t>
      </w:r>
      <w:proofErr w:type="spellStart"/>
      <w:r w:rsidRPr="00AF4A3B">
        <w:t>autorebríky</w:t>
      </w:r>
      <w:proofErr w:type="spellEnd"/>
      <w:r w:rsidRPr="00AF4A3B">
        <w:t>, prípadne ramenové hydraulické žeriavy s oto</w:t>
      </w:r>
      <w:r w:rsidRPr="00AF4A3B">
        <w:rPr>
          <w:rFonts w:hint="eastAsia"/>
        </w:rPr>
        <w:t>č</w:t>
      </w:r>
      <w:r w:rsidRPr="00AF4A3B">
        <w:t>nou plošinou.</w:t>
      </w:r>
    </w:p>
    <w:p w:rsidR="00E768FA" w:rsidRPr="00AF4A3B" w:rsidRDefault="00E768FA" w:rsidP="00E768FA">
      <w:pPr>
        <w:pStyle w:val="Nadpis2"/>
      </w:pPr>
      <w:r w:rsidRPr="00AF4A3B">
        <w:t>Predpokladaný postup výstavby</w:t>
      </w:r>
    </w:p>
    <w:p w:rsidR="00E768FA" w:rsidRPr="00AF4A3B" w:rsidRDefault="00E768FA" w:rsidP="009F4CE9">
      <w:pPr>
        <w:pStyle w:val="Odsekzoznamu"/>
        <w:numPr>
          <w:ilvl w:val="0"/>
          <w:numId w:val="4"/>
        </w:numPr>
        <w:ind w:left="284" w:hanging="284"/>
        <w:rPr>
          <w:rFonts w:cs="Arial"/>
        </w:rPr>
      </w:pPr>
      <w:r w:rsidRPr="00AF4A3B">
        <w:rPr>
          <w:rFonts w:cs="Arial"/>
        </w:rPr>
        <w:t>Vytýčenie podzemných inžinierskych sietí v záujmovom území</w:t>
      </w:r>
    </w:p>
    <w:p w:rsidR="00E768FA" w:rsidRPr="00AF4A3B" w:rsidRDefault="00E768FA" w:rsidP="009F4CE9">
      <w:pPr>
        <w:pStyle w:val="Odsekzoznamu"/>
        <w:numPr>
          <w:ilvl w:val="0"/>
          <w:numId w:val="4"/>
        </w:numPr>
        <w:ind w:left="284" w:hanging="284"/>
        <w:rPr>
          <w:rFonts w:cs="Arial"/>
        </w:rPr>
      </w:pPr>
      <w:r w:rsidRPr="00AF4A3B">
        <w:rPr>
          <w:rFonts w:cs="Arial"/>
        </w:rPr>
        <w:t xml:space="preserve">Vytýčenie polohy svetelných miest, káblovej trasy a káblových podchodov pod komunikáciami podľa súradníc podrobných bodov objektu </w:t>
      </w:r>
    </w:p>
    <w:p w:rsidR="00E768FA" w:rsidRPr="00AF4A3B" w:rsidRDefault="00E768FA" w:rsidP="009F4CE9">
      <w:pPr>
        <w:pStyle w:val="Odsekzoznamu"/>
        <w:numPr>
          <w:ilvl w:val="0"/>
          <w:numId w:val="4"/>
        </w:numPr>
        <w:ind w:left="284" w:hanging="284"/>
        <w:rPr>
          <w:rFonts w:cs="Arial"/>
        </w:rPr>
      </w:pPr>
      <w:r w:rsidRPr="00AF4A3B">
        <w:rPr>
          <w:rFonts w:cs="Arial"/>
        </w:rPr>
        <w:t>Výkop káblových rýh a jám pre základy osvetľovacích stožiarov, betonáž základov a káblových podchodov</w:t>
      </w:r>
    </w:p>
    <w:p w:rsidR="00AF4A3B" w:rsidRPr="00AF4A3B" w:rsidRDefault="00AF4A3B" w:rsidP="009F4CE9">
      <w:pPr>
        <w:pStyle w:val="Odsekzoznamu"/>
        <w:numPr>
          <w:ilvl w:val="0"/>
          <w:numId w:val="4"/>
        </w:numPr>
        <w:ind w:left="284" w:hanging="284"/>
        <w:rPr>
          <w:rFonts w:cs="Arial"/>
        </w:rPr>
      </w:pPr>
      <w:r w:rsidRPr="00AF4A3B">
        <w:rPr>
          <w:rFonts w:cs="Arial"/>
        </w:rPr>
        <w:t>Zriadenie pieskového lôžka, uloženie kábla do pieskového lôžka, uloženie mechanickej ochrany, zásyp zeminou so zhutnením, uzemnenie rozvádzačov, uloženie výstražnej fólie a dokončovacie práce s úpravou terénu</w:t>
      </w:r>
    </w:p>
    <w:p w:rsidR="00AF4A3B" w:rsidRPr="00AF4A3B" w:rsidRDefault="00AF4A3B" w:rsidP="009F4CE9">
      <w:pPr>
        <w:pStyle w:val="Odsekzoznamu"/>
        <w:numPr>
          <w:ilvl w:val="0"/>
          <w:numId w:val="4"/>
        </w:numPr>
        <w:ind w:left="284" w:hanging="284"/>
        <w:rPr>
          <w:rFonts w:cs="Arial"/>
        </w:rPr>
      </w:pPr>
      <w:r w:rsidRPr="00AF4A3B">
        <w:rPr>
          <w:rFonts w:cs="Arial"/>
        </w:rPr>
        <w:t>Osadenie stožiarov VO do základov, montáž výložníkov a svietidiel, zapojenie stožiarov</w:t>
      </w:r>
    </w:p>
    <w:p w:rsidR="00E768FA" w:rsidRPr="00AF4A3B" w:rsidRDefault="00E768FA" w:rsidP="009F4CE9">
      <w:pPr>
        <w:pStyle w:val="Odsekzoznamu"/>
        <w:numPr>
          <w:ilvl w:val="0"/>
          <w:numId w:val="4"/>
        </w:numPr>
        <w:ind w:left="284" w:hanging="284"/>
        <w:rPr>
          <w:rFonts w:cs="Arial"/>
        </w:rPr>
      </w:pPr>
      <w:r w:rsidRPr="00AF4A3B">
        <w:rPr>
          <w:rFonts w:cs="Arial"/>
        </w:rPr>
        <w:t>Vykonanie predpísaných meraní, skúšok a revízií zariadenia a uvedenie objektu do prevádzky</w:t>
      </w:r>
    </w:p>
    <w:p w:rsidR="00E768FA" w:rsidRPr="00AF4A3B" w:rsidRDefault="00E768FA" w:rsidP="00E768FA">
      <w:pPr>
        <w:pStyle w:val="Nadpis1"/>
      </w:pPr>
      <w:r w:rsidRPr="00AF4A3B">
        <w:lastRenderedPageBreak/>
        <w:t>POŽIADAVKY Z HĽADISKA BEZPEČNOSTI A OCHRANY ZDRAVIA PRI PRÁCI</w:t>
      </w:r>
    </w:p>
    <w:p w:rsidR="00E768FA" w:rsidRPr="00AF4A3B" w:rsidRDefault="00E768FA" w:rsidP="00E768FA">
      <w:pPr>
        <w:pStyle w:val="Odsekzoznamu"/>
        <w:ind w:left="0"/>
        <w:rPr>
          <w:bCs/>
        </w:rPr>
      </w:pPr>
      <w:r w:rsidRPr="00AF4A3B">
        <w:rPr>
          <w:bCs/>
        </w:rPr>
        <w:t xml:space="preserve">Všetci pracovníci budú pred začatím prác poučení v zmysle platných noriem, bezpečnostných predpisov  a vyhlášok. Pri práci je nutné používať ochranné pracovné pomôcky. </w:t>
      </w:r>
    </w:p>
    <w:p w:rsidR="00E768FA" w:rsidRPr="00AF4A3B" w:rsidRDefault="00E768FA" w:rsidP="00E768FA">
      <w:pPr>
        <w:pStyle w:val="Odsekzoznamu"/>
        <w:ind w:left="0"/>
        <w:rPr>
          <w:bCs/>
        </w:rPr>
      </w:pPr>
      <w:r w:rsidRPr="00AF4A3B">
        <w:rPr>
          <w:bCs/>
        </w:rPr>
        <w:t>Pri používaní elektrického náradia, práci na elektrických zariadeniach a vedeniach sú pracovníci povinní dodržiavať najmä: STN 34 3100, STN 34 3101, STN 34 3102, STN 34 3104, STN 34 3108</w:t>
      </w:r>
    </w:p>
    <w:p w:rsidR="00E768FA" w:rsidRPr="00AF4A3B" w:rsidRDefault="00E768FA" w:rsidP="00E768FA">
      <w:pPr>
        <w:pStyle w:val="Odsekzoznamu"/>
        <w:ind w:left="0"/>
        <w:rPr>
          <w:bCs/>
        </w:rPr>
      </w:pPr>
      <w:r w:rsidRPr="00AF4A3B">
        <w:rPr>
          <w:bCs/>
        </w:rPr>
        <w:t>Pri odborných prehliadkach elektrických zariadení je nutné dodržiavať najmä: STN 33 1500, STN 33</w:t>
      </w:r>
      <w:r w:rsidR="00806236" w:rsidRPr="00AF4A3B">
        <w:rPr>
          <w:bCs/>
        </w:rPr>
        <w:t xml:space="preserve"> </w:t>
      </w:r>
      <w:r w:rsidRPr="00AF4A3B">
        <w:rPr>
          <w:bCs/>
        </w:rPr>
        <w:t>2000-6, vyhl. 508/2009</w:t>
      </w:r>
      <w:r w:rsidR="00806236" w:rsidRPr="00AF4A3B">
        <w:rPr>
          <w:bCs/>
        </w:rPr>
        <w:t>.</w:t>
      </w:r>
    </w:p>
    <w:p w:rsidR="00E768FA" w:rsidRPr="00AF4A3B" w:rsidRDefault="00E768FA" w:rsidP="00E768FA">
      <w:pPr>
        <w:pStyle w:val="Odsekzoznamu"/>
        <w:ind w:left="0"/>
        <w:rPr>
          <w:bCs/>
        </w:rPr>
      </w:pPr>
      <w:r w:rsidRPr="00AF4A3B">
        <w:rPr>
          <w:bCs/>
        </w:rPr>
        <w:t>Všetky práce sa budú vykonávať v beznapäťovom stave.</w:t>
      </w:r>
    </w:p>
    <w:p w:rsidR="00E768FA" w:rsidRPr="00AF4A3B" w:rsidRDefault="00E768FA" w:rsidP="00E768FA">
      <w:pPr>
        <w:pStyle w:val="Odsekzoznamu"/>
        <w:ind w:left="0"/>
        <w:rPr>
          <w:bCs/>
        </w:rPr>
      </w:pPr>
      <w:r w:rsidRPr="00AF4A3B">
        <w:rPr>
          <w:bCs/>
        </w:rPr>
        <w:t>Kvalifikácia pracovníkov pre prácu na elektrických zariadeniach podľa vyhl. 508/2009 Z. z. je elektrotechnik §21 a vyššie.</w:t>
      </w:r>
    </w:p>
    <w:p w:rsidR="00E768FA" w:rsidRPr="00AF4A3B" w:rsidRDefault="00E768FA" w:rsidP="00E768FA">
      <w:pPr>
        <w:pStyle w:val="Odsekzoznamu"/>
        <w:ind w:left="0"/>
        <w:rPr>
          <w:bCs/>
        </w:rPr>
      </w:pPr>
      <w:r w:rsidRPr="00AF4A3B">
        <w:rPr>
          <w:bCs/>
        </w:rPr>
        <w:t>Pred uvedením zariadení do prevádzky je nutné vykonať odbornú prehliadku a odbornú skúšku  a je nutné vyhotoviť dokument, v ktorom sa uvedú skutočnosti zistené pri odbornej prehliadke alebo skúške.</w:t>
      </w:r>
    </w:p>
    <w:p w:rsidR="00E768FA" w:rsidRPr="00AF4A3B" w:rsidRDefault="00E768FA" w:rsidP="00E768FA">
      <w:pPr>
        <w:pStyle w:val="Odsekzoznamu"/>
        <w:ind w:left="0"/>
        <w:rPr>
          <w:bCs/>
        </w:rPr>
      </w:pPr>
      <w:r w:rsidRPr="00AF4A3B">
        <w:rPr>
          <w:bCs/>
        </w:rPr>
        <w:t>Farebné značenie vodičov sa urobí podľa STN IEC 60 446.</w:t>
      </w:r>
    </w:p>
    <w:p w:rsidR="00E768FA" w:rsidRPr="00AF4A3B" w:rsidRDefault="00E768FA" w:rsidP="00806236">
      <w:pPr>
        <w:pStyle w:val="Nadpis1"/>
      </w:pPr>
      <w:r w:rsidRPr="00AF4A3B">
        <w:t>POŽIADAVKY Z HĽADISKA STAROSTLIVOSTI O ŽIVOTNÉ PROSTREDIE</w:t>
      </w:r>
    </w:p>
    <w:p w:rsidR="00E768FA" w:rsidRPr="00AF4A3B" w:rsidRDefault="00E768FA" w:rsidP="00E768FA">
      <w:pPr>
        <w:pStyle w:val="Odsekzoznamu"/>
        <w:ind w:left="0"/>
        <w:rPr>
          <w:b/>
          <w:bCs/>
        </w:rPr>
      </w:pPr>
      <w:r w:rsidRPr="00AF4A3B">
        <w:rPr>
          <w:rFonts w:eastAsia="Calibri" w:cs="Arial"/>
        </w:rPr>
        <w:t>So vzniknutým odpadom sa bude zaobchádzať v zmysle Zákona č. 223/2001 Z. z. o odpadoch a o zmene a doplnení niektorých zákonov a Vyhlášky MŽPSR č. 283/2001 o vykonaní niektorých ustanovení zákona o odpadoch.</w:t>
      </w:r>
    </w:p>
    <w:p w:rsidR="00E768FA" w:rsidRPr="00AF4A3B" w:rsidRDefault="00E768FA" w:rsidP="00E768FA"/>
    <w:p w:rsidR="00E768FA" w:rsidRPr="00AF4A3B" w:rsidRDefault="00E768FA" w:rsidP="00E768FA"/>
    <w:p w:rsidR="00E768FA" w:rsidRPr="00AF4A3B" w:rsidRDefault="00E768FA" w:rsidP="00E768FA">
      <w:r w:rsidRPr="00AF4A3B">
        <w:rPr>
          <w:noProof/>
          <w:lang w:eastAsia="sk-SK" w:bidi="ar-SA"/>
        </w:rPr>
        <w:drawing>
          <wp:anchor distT="0" distB="0" distL="114300" distR="114300" simplePos="0" relativeHeight="251661312" behindDoc="1" locked="0" layoutInCell="1" allowOverlap="1">
            <wp:simplePos x="0" y="0"/>
            <wp:positionH relativeFrom="column">
              <wp:posOffset>4672965</wp:posOffset>
            </wp:positionH>
            <wp:positionV relativeFrom="paragraph">
              <wp:posOffset>139700</wp:posOffset>
            </wp:positionV>
            <wp:extent cx="955675" cy="284480"/>
            <wp:effectExtent l="19050" t="0" r="0" b="0"/>
            <wp:wrapNone/>
            <wp:docPr id="1" name="Obrázek 0" descr="podpis urb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dpis urban.bmp"/>
                    <pic:cNvPicPr/>
                  </pic:nvPicPr>
                  <pic:blipFill>
                    <a:blip r:embed="rId8" cstate="print"/>
                    <a:stretch>
                      <a:fillRect/>
                    </a:stretch>
                  </pic:blipFill>
                  <pic:spPr>
                    <a:xfrm>
                      <a:off x="0" y="0"/>
                      <a:ext cx="955675" cy="284480"/>
                    </a:xfrm>
                    <a:prstGeom prst="rect">
                      <a:avLst/>
                    </a:prstGeom>
                  </pic:spPr>
                </pic:pic>
              </a:graphicData>
            </a:graphic>
          </wp:anchor>
        </w:drawing>
      </w:r>
    </w:p>
    <w:p w:rsidR="00E768FA" w:rsidRPr="00AF4A3B" w:rsidRDefault="00E768FA" w:rsidP="00E768FA"/>
    <w:p w:rsidR="00E768FA" w:rsidRPr="00AF4A3B" w:rsidRDefault="00E768FA" w:rsidP="00E768FA"/>
    <w:p w:rsidR="00E768FA" w:rsidRPr="00AF4A3B" w:rsidRDefault="00E768FA" w:rsidP="00E768FA">
      <w:pPr>
        <w:rPr>
          <w:rFonts w:cs="Arial"/>
          <w:iCs/>
          <w:szCs w:val="20"/>
        </w:rPr>
      </w:pPr>
      <w:r w:rsidRPr="00AF4A3B">
        <w:rPr>
          <w:rFonts w:cs="Arial"/>
          <w:iCs/>
          <w:szCs w:val="20"/>
        </w:rPr>
        <w:t xml:space="preserve">V Prešove, </w:t>
      </w:r>
      <w:r w:rsidR="00ED017F">
        <w:rPr>
          <w:rFonts w:cs="Arial"/>
          <w:iCs/>
          <w:szCs w:val="20"/>
        </w:rPr>
        <w:t>august 2020</w:t>
      </w:r>
      <w:r w:rsidRPr="00AF4A3B">
        <w:rPr>
          <w:rFonts w:cs="Arial"/>
          <w:iCs/>
          <w:szCs w:val="20"/>
        </w:rPr>
        <w:tab/>
      </w:r>
      <w:r w:rsidRPr="00AF4A3B">
        <w:rPr>
          <w:rFonts w:cs="Arial"/>
          <w:iCs/>
          <w:szCs w:val="20"/>
        </w:rPr>
        <w:tab/>
      </w:r>
      <w:r w:rsidRPr="00AF4A3B">
        <w:rPr>
          <w:rFonts w:cs="Arial"/>
          <w:iCs/>
          <w:szCs w:val="20"/>
        </w:rPr>
        <w:tab/>
      </w:r>
      <w:r w:rsidRPr="00AF4A3B">
        <w:rPr>
          <w:rFonts w:cs="Arial"/>
          <w:iCs/>
          <w:szCs w:val="20"/>
        </w:rPr>
        <w:tab/>
      </w:r>
      <w:r w:rsidRPr="00AF4A3B">
        <w:rPr>
          <w:rFonts w:cs="Arial"/>
          <w:iCs/>
          <w:szCs w:val="20"/>
        </w:rPr>
        <w:tab/>
      </w:r>
      <w:r w:rsidRPr="00AF4A3B">
        <w:rPr>
          <w:rFonts w:cs="Arial"/>
          <w:iCs/>
          <w:szCs w:val="20"/>
        </w:rPr>
        <w:tab/>
      </w:r>
      <w:r w:rsidRPr="00AF4A3B">
        <w:rPr>
          <w:rFonts w:cs="Arial"/>
          <w:iCs/>
          <w:szCs w:val="20"/>
        </w:rPr>
        <w:tab/>
        <w:t>Vypracoval: Ing. Juraj Urban</w:t>
      </w:r>
    </w:p>
    <w:p w:rsidR="00E768FA" w:rsidRPr="00AF4A3B" w:rsidRDefault="00E768FA" w:rsidP="00692DB1">
      <w:pPr>
        <w:rPr>
          <w:rFonts w:cs="Arial"/>
          <w:lang w:bidi="ar-SA"/>
        </w:rPr>
      </w:pPr>
    </w:p>
    <w:sectPr w:rsidR="00E768FA" w:rsidRPr="00AF4A3B" w:rsidSect="009D5B76">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135D" w:rsidRDefault="00B8135D" w:rsidP="00D85B72">
      <w:r>
        <w:separator/>
      </w:r>
    </w:p>
  </w:endnote>
  <w:endnote w:type="continuationSeparator" w:id="0">
    <w:p w:rsidR="00B8135D" w:rsidRDefault="00B8135D" w:rsidP="00D85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altName w:val="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26175274"/>
      <w:docPartObj>
        <w:docPartGallery w:val="Page Numbers (Bottom of Page)"/>
        <w:docPartUnique/>
      </w:docPartObj>
    </w:sdtPr>
    <w:sdtEndPr/>
    <w:sdtContent>
      <w:sdt>
        <w:sdtPr>
          <w:rPr>
            <w:sz w:val="16"/>
            <w:szCs w:val="16"/>
          </w:rPr>
          <w:id w:val="26175275"/>
          <w:docPartObj>
            <w:docPartGallery w:val="Page Numbers (Top of Page)"/>
            <w:docPartUnique/>
          </w:docPartObj>
        </w:sdtPr>
        <w:sdtEndPr/>
        <w:sdtContent>
          <w:p w:rsidR="00D90225" w:rsidRPr="00BB1AE1" w:rsidRDefault="009B4128" w:rsidP="00513512">
            <w:pPr>
              <w:pStyle w:val="Pta"/>
              <w:jc w:val="center"/>
              <w:rPr>
                <w:sz w:val="16"/>
                <w:szCs w:val="16"/>
              </w:rPr>
            </w:pPr>
            <w:r>
              <w:fldChar w:fldCharType="begin"/>
            </w:r>
            <w:r>
              <w:instrText>PAGE</w:instrText>
            </w:r>
            <w:r>
              <w:fldChar w:fldCharType="separate"/>
            </w:r>
            <w:r w:rsidR="00A23973">
              <w:rPr>
                <w:noProof/>
              </w:rPr>
              <w:t>10</w:t>
            </w:r>
            <w:r>
              <w:rPr>
                <w:noProof/>
              </w:rPr>
              <w:fldChar w:fldCharType="end"/>
            </w:r>
            <w:r w:rsidR="00D90225" w:rsidRPr="00A56447">
              <w:t>/</w:t>
            </w:r>
            <w:r>
              <w:fldChar w:fldCharType="begin"/>
            </w:r>
            <w:r>
              <w:instrText>NUMPAGES</w:instrText>
            </w:r>
            <w:r>
              <w:fldChar w:fldCharType="separate"/>
            </w:r>
            <w:r w:rsidR="00A23973">
              <w:rPr>
                <w:noProof/>
              </w:rPr>
              <w:t>10</w:t>
            </w:r>
            <w:r>
              <w:rPr>
                <w:noProof/>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135D" w:rsidRDefault="00B8135D" w:rsidP="00D85B72">
      <w:r>
        <w:separator/>
      </w:r>
    </w:p>
  </w:footnote>
  <w:footnote w:type="continuationSeparator" w:id="0">
    <w:p w:rsidR="00B8135D" w:rsidRDefault="00B8135D" w:rsidP="00D85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0225" w:rsidRPr="0058089A" w:rsidRDefault="00D90225" w:rsidP="009D5B76">
    <w:pPr>
      <w:pStyle w:val="Hlavika"/>
      <w:rPr>
        <w:sz w:val="16"/>
        <w:szCs w:val="16"/>
      </w:rPr>
    </w:pPr>
    <w:r>
      <w:rPr>
        <w:noProof/>
        <w:sz w:val="16"/>
        <w:szCs w:val="16"/>
        <w:lang w:eastAsia="sk-SK" w:bidi="ar-SA"/>
      </w:rPr>
      <w:drawing>
        <wp:anchor distT="0" distB="0" distL="114300" distR="114300" simplePos="0" relativeHeight="251660288" behindDoc="0" locked="0" layoutInCell="1" allowOverlap="1">
          <wp:simplePos x="0" y="0"/>
          <wp:positionH relativeFrom="margin">
            <wp:posOffset>5422900</wp:posOffset>
          </wp:positionH>
          <wp:positionV relativeFrom="paragraph">
            <wp:posOffset>-1270</wp:posOffset>
          </wp:positionV>
          <wp:extent cx="903605" cy="241300"/>
          <wp:effectExtent l="19050" t="0" r="0" b="0"/>
          <wp:wrapNone/>
          <wp:docPr id="3"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903605" cy="241300"/>
                  </a:xfrm>
                  <a:prstGeom prst="rect">
                    <a:avLst/>
                  </a:prstGeom>
                  <a:noFill/>
                  <a:ln w="9525">
                    <a:noFill/>
                    <a:miter lim="800000"/>
                    <a:headEnd/>
                    <a:tailEnd/>
                  </a:ln>
                </pic:spPr>
              </pic:pic>
            </a:graphicData>
          </a:graphic>
        </wp:anchor>
      </w:drawing>
    </w:r>
    <w:r w:rsidR="00BE6698" w:rsidRPr="00BE6698">
      <w:rPr>
        <w:rFonts w:cs="Arial"/>
        <w:sz w:val="16"/>
        <w:szCs w:val="16"/>
      </w:rPr>
      <w:t xml:space="preserve">Veľký Šariš - </w:t>
    </w:r>
    <w:r w:rsidR="00C72EB4">
      <w:rPr>
        <w:rFonts w:cs="Arial"/>
        <w:sz w:val="16"/>
        <w:szCs w:val="16"/>
      </w:rPr>
      <w:t>M</w:t>
    </w:r>
    <w:r w:rsidR="00BE6698" w:rsidRPr="00BE6698">
      <w:rPr>
        <w:rFonts w:cs="Arial"/>
        <w:sz w:val="16"/>
        <w:szCs w:val="16"/>
      </w:rPr>
      <w:t xml:space="preserve">ost </w:t>
    </w:r>
    <w:proofErr w:type="spellStart"/>
    <w:r w:rsidR="00C72EB4">
      <w:rPr>
        <w:rFonts w:cs="Arial"/>
        <w:sz w:val="16"/>
        <w:szCs w:val="16"/>
      </w:rPr>
      <w:t>B</w:t>
    </w:r>
    <w:r w:rsidR="00BE6698" w:rsidRPr="00BE6698">
      <w:rPr>
        <w:rFonts w:cs="Arial"/>
        <w:sz w:val="16"/>
        <w:szCs w:val="16"/>
      </w:rPr>
      <w:t>aratoky</w:t>
    </w:r>
    <w:proofErr w:type="spellEnd"/>
    <w:r w:rsidR="00BE6698" w:rsidRPr="00BE6698">
      <w:rPr>
        <w:rFonts w:cs="Arial"/>
        <w:sz w:val="16"/>
        <w:szCs w:val="16"/>
      </w:rPr>
      <w:t xml:space="preserve"> a </w:t>
    </w:r>
    <w:proofErr w:type="spellStart"/>
    <w:r w:rsidR="00BE6698" w:rsidRPr="00BE6698">
      <w:rPr>
        <w:rFonts w:cs="Arial"/>
        <w:sz w:val="16"/>
        <w:szCs w:val="16"/>
      </w:rPr>
      <w:t>prisluchajúca</w:t>
    </w:r>
    <w:proofErr w:type="spellEnd"/>
    <w:r w:rsidR="00BE6698" w:rsidRPr="00BE6698">
      <w:rPr>
        <w:rFonts w:cs="Arial"/>
        <w:sz w:val="16"/>
        <w:szCs w:val="16"/>
      </w:rPr>
      <w:t xml:space="preserve"> komunikácia</w:t>
    </w:r>
    <w:r>
      <w:rPr>
        <w:rFonts w:cs="Arial"/>
        <w:sz w:val="16"/>
        <w:szCs w:val="16"/>
      </w:rPr>
      <w:t xml:space="preserve"> </w:t>
    </w:r>
  </w:p>
  <w:p w:rsidR="00D90225" w:rsidRPr="00776A61" w:rsidRDefault="00D90225" w:rsidP="009D5B76">
    <w:pPr>
      <w:pStyle w:val="Hlavika"/>
      <w:rPr>
        <w:rFonts w:cs="Arial"/>
        <w:sz w:val="16"/>
        <w:szCs w:val="16"/>
      </w:rPr>
    </w:pPr>
    <w:r>
      <w:rPr>
        <w:rFonts w:cs="Arial"/>
        <w:sz w:val="16"/>
        <w:szCs w:val="16"/>
      </w:rPr>
      <w:t>6</w:t>
    </w:r>
    <w:r w:rsidR="00BE6698">
      <w:rPr>
        <w:rFonts w:cs="Arial"/>
        <w:sz w:val="16"/>
        <w:szCs w:val="16"/>
      </w:rPr>
      <w:t>2</w:t>
    </w:r>
    <w:r>
      <w:rPr>
        <w:rFonts w:cs="Arial"/>
        <w:sz w:val="16"/>
        <w:szCs w:val="16"/>
      </w:rPr>
      <w:t xml:space="preserve">0-00 </w:t>
    </w:r>
    <w:r w:rsidRPr="00E768FA">
      <w:rPr>
        <w:bCs/>
        <w:iCs/>
        <w:sz w:val="16"/>
        <w:szCs w:val="16"/>
      </w:rPr>
      <w:t>Verejné osvetlenie</w:t>
    </w:r>
  </w:p>
  <w:p w:rsidR="00BE6698" w:rsidRDefault="00BE66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C0858"/>
    <w:multiLevelType w:val="hybridMultilevel"/>
    <w:tmpl w:val="91C2226C"/>
    <w:lvl w:ilvl="0" w:tplc="041B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7300822"/>
    <w:multiLevelType w:val="hybridMultilevel"/>
    <w:tmpl w:val="62F6F2C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89D4217"/>
    <w:multiLevelType w:val="hybridMultilevel"/>
    <w:tmpl w:val="7AF803CA"/>
    <w:lvl w:ilvl="0" w:tplc="041B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D177A8E"/>
    <w:multiLevelType w:val="hybridMultilevel"/>
    <w:tmpl w:val="EE1EAC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31FA0440"/>
    <w:multiLevelType w:val="hybridMultilevel"/>
    <w:tmpl w:val="672429FA"/>
    <w:lvl w:ilvl="0" w:tplc="041B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449847E6"/>
    <w:multiLevelType w:val="multilevel"/>
    <w:tmpl w:val="6C768782"/>
    <w:lvl w:ilvl="0">
      <w:start w:val="1"/>
      <w:numFmt w:val="decimal"/>
      <w:pStyle w:val="Nadpis1"/>
      <w:lvlText w:val="%1."/>
      <w:lvlJc w:val="left"/>
      <w:pPr>
        <w:ind w:left="574"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4A94428B"/>
    <w:multiLevelType w:val="hybridMultilevel"/>
    <w:tmpl w:val="084C8908"/>
    <w:lvl w:ilvl="0" w:tplc="041B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56246621"/>
    <w:multiLevelType w:val="hybridMultilevel"/>
    <w:tmpl w:val="B1964BA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5B9069BE"/>
    <w:multiLevelType w:val="hybridMultilevel"/>
    <w:tmpl w:val="BA16791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5CF57305"/>
    <w:multiLevelType w:val="hybridMultilevel"/>
    <w:tmpl w:val="AFAAAF5C"/>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6483540A"/>
    <w:multiLevelType w:val="hybridMultilevel"/>
    <w:tmpl w:val="9A0C341E"/>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7AA3245"/>
    <w:multiLevelType w:val="hybridMultilevel"/>
    <w:tmpl w:val="8720674C"/>
    <w:lvl w:ilvl="0" w:tplc="041B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777C16E1"/>
    <w:multiLevelType w:val="hybridMultilevel"/>
    <w:tmpl w:val="E04A1640"/>
    <w:lvl w:ilvl="0" w:tplc="041B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77D028AE"/>
    <w:multiLevelType w:val="hybridMultilevel"/>
    <w:tmpl w:val="CD409D3E"/>
    <w:lvl w:ilvl="0" w:tplc="041B0005">
      <w:start w:val="1"/>
      <w:numFmt w:val="bullet"/>
      <w:lvlText w:val=""/>
      <w:lvlJc w:val="left"/>
      <w:pPr>
        <w:ind w:left="720" w:hanging="360"/>
      </w:pPr>
      <w:rPr>
        <w:rFonts w:ascii="Wingdings" w:hAnsi="Wingding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7C552894"/>
    <w:multiLevelType w:val="hybridMultilevel"/>
    <w:tmpl w:val="CF8EEF0E"/>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
  </w:num>
  <w:num w:numId="4">
    <w:abstractNumId w:val="8"/>
  </w:num>
  <w:num w:numId="5">
    <w:abstractNumId w:val="14"/>
  </w:num>
  <w:num w:numId="6">
    <w:abstractNumId w:val="10"/>
  </w:num>
  <w:num w:numId="7">
    <w:abstractNumId w:val="9"/>
  </w:num>
  <w:num w:numId="8">
    <w:abstractNumId w:val="6"/>
  </w:num>
  <w:num w:numId="9">
    <w:abstractNumId w:val="12"/>
  </w:num>
  <w:num w:numId="10">
    <w:abstractNumId w:val="0"/>
  </w:num>
  <w:num w:numId="11">
    <w:abstractNumId w:val="2"/>
  </w:num>
  <w:num w:numId="12">
    <w:abstractNumId w:val="11"/>
  </w:num>
  <w:num w:numId="13">
    <w:abstractNumId w:val="4"/>
  </w:num>
  <w:num w:numId="14">
    <w:abstractNumId w:val="7"/>
  </w:num>
  <w:num w:numId="1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drawingGridHorizontalSpacing w:val="100"/>
  <w:displayHorizontalDrawingGridEvery w:val="2"/>
  <w:characterSpacingControl w:val="doNotCompress"/>
  <w:hdrShapeDefaults>
    <o:shapedefaults v:ext="edit" spidmax="18227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85B72"/>
    <w:rsid w:val="00000888"/>
    <w:rsid w:val="00001435"/>
    <w:rsid w:val="00003435"/>
    <w:rsid w:val="000059C0"/>
    <w:rsid w:val="00007E8C"/>
    <w:rsid w:val="00015BC1"/>
    <w:rsid w:val="00030248"/>
    <w:rsid w:val="0003186B"/>
    <w:rsid w:val="000356B8"/>
    <w:rsid w:val="00035D92"/>
    <w:rsid w:val="000454B5"/>
    <w:rsid w:val="000463A4"/>
    <w:rsid w:val="0004658B"/>
    <w:rsid w:val="0006281F"/>
    <w:rsid w:val="00062A04"/>
    <w:rsid w:val="00062E4E"/>
    <w:rsid w:val="000657AD"/>
    <w:rsid w:val="00065A04"/>
    <w:rsid w:val="00067F66"/>
    <w:rsid w:val="000723F7"/>
    <w:rsid w:val="00074B41"/>
    <w:rsid w:val="0007746F"/>
    <w:rsid w:val="00080D08"/>
    <w:rsid w:val="000829CF"/>
    <w:rsid w:val="00085B00"/>
    <w:rsid w:val="0009091E"/>
    <w:rsid w:val="00096EF7"/>
    <w:rsid w:val="000A0235"/>
    <w:rsid w:val="000A066F"/>
    <w:rsid w:val="000A4112"/>
    <w:rsid w:val="000B300B"/>
    <w:rsid w:val="000B44D1"/>
    <w:rsid w:val="000B49FD"/>
    <w:rsid w:val="000B4C45"/>
    <w:rsid w:val="000B712D"/>
    <w:rsid w:val="000B754D"/>
    <w:rsid w:val="000B7BE9"/>
    <w:rsid w:val="000B7CC5"/>
    <w:rsid w:val="000B7FE7"/>
    <w:rsid w:val="000D0D22"/>
    <w:rsid w:val="000D2AC3"/>
    <w:rsid w:val="000D3A9E"/>
    <w:rsid w:val="000D7793"/>
    <w:rsid w:val="000E24F8"/>
    <w:rsid w:val="000E29F0"/>
    <w:rsid w:val="000E3A38"/>
    <w:rsid w:val="000E4F0B"/>
    <w:rsid w:val="001017B7"/>
    <w:rsid w:val="00101BEC"/>
    <w:rsid w:val="00104E75"/>
    <w:rsid w:val="00133DF5"/>
    <w:rsid w:val="00136353"/>
    <w:rsid w:val="0014025B"/>
    <w:rsid w:val="0014192C"/>
    <w:rsid w:val="00141F5D"/>
    <w:rsid w:val="00151856"/>
    <w:rsid w:val="00155E94"/>
    <w:rsid w:val="001667CA"/>
    <w:rsid w:val="001710CB"/>
    <w:rsid w:val="001733A0"/>
    <w:rsid w:val="0017437A"/>
    <w:rsid w:val="001745BA"/>
    <w:rsid w:val="00174CF8"/>
    <w:rsid w:val="00175D76"/>
    <w:rsid w:val="001770FB"/>
    <w:rsid w:val="0018002E"/>
    <w:rsid w:val="0018103B"/>
    <w:rsid w:val="0018232E"/>
    <w:rsid w:val="00190254"/>
    <w:rsid w:val="00190665"/>
    <w:rsid w:val="00195925"/>
    <w:rsid w:val="00197C6C"/>
    <w:rsid w:val="001A1234"/>
    <w:rsid w:val="001A1EAE"/>
    <w:rsid w:val="001A330B"/>
    <w:rsid w:val="001A35E1"/>
    <w:rsid w:val="001A472B"/>
    <w:rsid w:val="001A68A9"/>
    <w:rsid w:val="001A73E0"/>
    <w:rsid w:val="001A746F"/>
    <w:rsid w:val="001A7E38"/>
    <w:rsid w:val="001B271F"/>
    <w:rsid w:val="001B34C2"/>
    <w:rsid w:val="001B685D"/>
    <w:rsid w:val="001B7C5C"/>
    <w:rsid w:val="001C0822"/>
    <w:rsid w:val="001C233F"/>
    <w:rsid w:val="001C3ACB"/>
    <w:rsid w:val="001C4A65"/>
    <w:rsid w:val="001D16D3"/>
    <w:rsid w:val="001D2927"/>
    <w:rsid w:val="001D652A"/>
    <w:rsid w:val="001E0DDF"/>
    <w:rsid w:val="001E2139"/>
    <w:rsid w:val="001E21CE"/>
    <w:rsid w:val="001E2C7A"/>
    <w:rsid w:val="001F0A6A"/>
    <w:rsid w:val="001F3E42"/>
    <w:rsid w:val="001F41CA"/>
    <w:rsid w:val="001F5288"/>
    <w:rsid w:val="0020205C"/>
    <w:rsid w:val="0020417E"/>
    <w:rsid w:val="002042A1"/>
    <w:rsid w:val="00214298"/>
    <w:rsid w:val="002143D2"/>
    <w:rsid w:val="0021636B"/>
    <w:rsid w:val="00221A13"/>
    <w:rsid w:val="002254DD"/>
    <w:rsid w:val="002274EE"/>
    <w:rsid w:val="00230C61"/>
    <w:rsid w:val="002318AF"/>
    <w:rsid w:val="002336D9"/>
    <w:rsid w:val="00235DE4"/>
    <w:rsid w:val="0023606F"/>
    <w:rsid w:val="0023718E"/>
    <w:rsid w:val="00240160"/>
    <w:rsid w:val="002444DD"/>
    <w:rsid w:val="00245A0D"/>
    <w:rsid w:val="00246698"/>
    <w:rsid w:val="00246F73"/>
    <w:rsid w:val="00254778"/>
    <w:rsid w:val="002556C3"/>
    <w:rsid w:val="00262856"/>
    <w:rsid w:val="00265118"/>
    <w:rsid w:val="0027118C"/>
    <w:rsid w:val="002838C2"/>
    <w:rsid w:val="00284A24"/>
    <w:rsid w:val="00296512"/>
    <w:rsid w:val="002A0289"/>
    <w:rsid w:val="002A094F"/>
    <w:rsid w:val="002A1192"/>
    <w:rsid w:val="002A7314"/>
    <w:rsid w:val="002A7B6F"/>
    <w:rsid w:val="002B58B8"/>
    <w:rsid w:val="002B599F"/>
    <w:rsid w:val="002B5BC2"/>
    <w:rsid w:val="002C441B"/>
    <w:rsid w:val="002C515C"/>
    <w:rsid w:val="002C518D"/>
    <w:rsid w:val="002D0C92"/>
    <w:rsid w:val="002D0F27"/>
    <w:rsid w:val="002E194D"/>
    <w:rsid w:val="002F1A31"/>
    <w:rsid w:val="00302C6C"/>
    <w:rsid w:val="00303E33"/>
    <w:rsid w:val="00311DD9"/>
    <w:rsid w:val="0031600D"/>
    <w:rsid w:val="003223DB"/>
    <w:rsid w:val="00322A80"/>
    <w:rsid w:val="00323CCF"/>
    <w:rsid w:val="00323E15"/>
    <w:rsid w:val="00324F49"/>
    <w:rsid w:val="0032678D"/>
    <w:rsid w:val="00331498"/>
    <w:rsid w:val="00334414"/>
    <w:rsid w:val="00335689"/>
    <w:rsid w:val="00336483"/>
    <w:rsid w:val="00337E73"/>
    <w:rsid w:val="003429FF"/>
    <w:rsid w:val="00350224"/>
    <w:rsid w:val="00350AED"/>
    <w:rsid w:val="003516E2"/>
    <w:rsid w:val="0035390F"/>
    <w:rsid w:val="003556DF"/>
    <w:rsid w:val="00363594"/>
    <w:rsid w:val="003659BF"/>
    <w:rsid w:val="00367279"/>
    <w:rsid w:val="003738E2"/>
    <w:rsid w:val="00377B57"/>
    <w:rsid w:val="003838A6"/>
    <w:rsid w:val="00387322"/>
    <w:rsid w:val="00390460"/>
    <w:rsid w:val="003917B6"/>
    <w:rsid w:val="00391FB1"/>
    <w:rsid w:val="003A2854"/>
    <w:rsid w:val="003A4EB2"/>
    <w:rsid w:val="003A6738"/>
    <w:rsid w:val="003B183B"/>
    <w:rsid w:val="003B1F26"/>
    <w:rsid w:val="003C075D"/>
    <w:rsid w:val="003C0E5C"/>
    <w:rsid w:val="003C3B1E"/>
    <w:rsid w:val="003C43BA"/>
    <w:rsid w:val="003C6E27"/>
    <w:rsid w:val="003D02F0"/>
    <w:rsid w:val="003D4292"/>
    <w:rsid w:val="003D4B02"/>
    <w:rsid w:val="003F0D3C"/>
    <w:rsid w:val="003F173D"/>
    <w:rsid w:val="003F2704"/>
    <w:rsid w:val="003F2A64"/>
    <w:rsid w:val="003F6289"/>
    <w:rsid w:val="0040151F"/>
    <w:rsid w:val="0040177E"/>
    <w:rsid w:val="00403B8B"/>
    <w:rsid w:val="004072A0"/>
    <w:rsid w:val="00412C27"/>
    <w:rsid w:val="00413714"/>
    <w:rsid w:val="00414B39"/>
    <w:rsid w:val="00417CEA"/>
    <w:rsid w:val="00420D8E"/>
    <w:rsid w:val="00427156"/>
    <w:rsid w:val="004304D3"/>
    <w:rsid w:val="00432401"/>
    <w:rsid w:val="004402C8"/>
    <w:rsid w:val="00440744"/>
    <w:rsid w:val="004418F0"/>
    <w:rsid w:val="0044474C"/>
    <w:rsid w:val="00444AB3"/>
    <w:rsid w:val="004478F8"/>
    <w:rsid w:val="00450666"/>
    <w:rsid w:val="00451CC7"/>
    <w:rsid w:val="00452C85"/>
    <w:rsid w:val="00464F44"/>
    <w:rsid w:val="0046648E"/>
    <w:rsid w:val="00471473"/>
    <w:rsid w:val="00475278"/>
    <w:rsid w:val="0047537E"/>
    <w:rsid w:val="00481CB4"/>
    <w:rsid w:val="0048739E"/>
    <w:rsid w:val="004A35D0"/>
    <w:rsid w:val="004A59B6"/>
    <w:rsid w:val="004B163F"/>
    <w:rsid w:val="004B1DE9"/>
    <w:rsid w:val="004B217F"/>
    <w:rsid w:val="004B2EFF"/>
    <w:rsid w:val="004B5440"/>
    <w:rsid w:val="004B6628"/>
    <w:rsid w:val="004B7A04"/>
    <w:rsid w:val="004C4950"/>
    <w:rsid w:val="004D3BD7"/>
    <w:rsid w:val="004D6025"/>
    <w:rsid w:val="004E196F"/>
    <w:rsid w:val="004E1C68"/>
    <w:rsid w:val="004E409E"/>
    <w:rsid w:val="004E6E21"/>
    <w:rsid w:val="004F4C31"/>
    <w:rsid w:val="004F5329"/>
    <w:rsid w:val="004F637D"/>
    <w:rsid w:val="0050222E"/>
    <w:rsid w:val="0050275A"/>
    <w:rsid w:val="00504FC8"/>
    <w:rsid w:val="00510404"/>
    <w:rsid w:val="0051235E"/>
    <w:rsid w:val="00513512"/>
    <w:rsid w:val="00514164"/>
    <w:rsid w:val="0051648B"/>
    <w:rsid w:val="005265D0"/>
    <w:rsid w:val="00527CBC"/>
    <w:rsid w:val="00530493"/>
    <w:rsid w:val="00531247"/>
    <w:rsid w:val="005348BD"/>
    <w:rsid w:val="00536F67"/>
    <w:rsid w:val="0053775F"/>
    <w:rsid w:val="00546A47"/>
    <w:rsid w:val="00551780"/>
    <w:rsid w:val="00552309"/>
    <w:rsid w:val="00555D1E"/>
    <w:rsid w:val="005653CF"/>
    <w:rsid w:val="005656FE"/>
    <w:rsid w:val="005666D1"/>
    <w:rsid w:val="00571B34"/>
    <w:rsid w:val="00575A23"/>
    <w:rsid w:val="0058089A"/>
    <w:rsid w:val="00584EEC"/>
    <w:rsid w:val="005852B7"/>
    <w:rsid w:val="00585656"/>
    <w:rsid w:val="005865BE"/>
    <w:rsid w:val="00586C70"/>
    <w:rsid w:val="005909A6"/>
    <w:rsid w:val="00590DE0"/>
    <w:rsid w:val="00592D4D"/>
    <w:rsid w:val="00593685"/>
    <w:rsid w:val="005963EB"/>
    <w:rsid w:val="005A0929"/>
    <w:rsid w:val="005A3281"/>
    <w:rsid w:val="005A55B3"/>
    <w:rsid w:val="005A63D7"/>
    <w:rsid w:val="005B23ED"/>
    <w:rsid w:val="005B5B95"/>
    <w:rsid w:val="005C1175"/>
    <w:rsid w:val="005C1263"/>
    <w:rsid w:val="005C2E96"/>
    <w:rsid w:val="005C4398"/>
    <w:rsid w:val="005D0CB9"/>
    <w:rsid w:val="005D1446"/>
    <w:rsid w:val="005D1724"/>
    <w:rsid w:val="005D4D5D"/>
    <w:rsid w:val="005D6A81"/>
    <w:rsid w:val="005E6F96"/>
    <w:rsid w:val="005E7F24"/>
    <w:rsid w:val="005F03D3"/>
    <w:rsid w:val="005F463C"/>
    <w:rsid w:val="005F5190"/>
    <w:rsid w:val="00610CAC"/>
    <w:rsid w:val="00610E3F"/>
    <w:rsid w:val="006153C0"/>
    <w:rsid w:val="00617AFC"/>
    <w:rsid w:val="00620CF4"/>
    <w:rsid w:val="00620F6A"/>
    <w:rsid w:val="0062111B"/>
    <w:rsid w:val="00626E60"/>
    <w:rsid w:val="006308A2"/>
    <w:rsid w:val="00631B49"/>
    <w:rsid w:val="00632196"/>
    <w:rsid w:val="00632420"/>
    <w:rsid w:val="00633161"/>
    <w:rsid w:val="006333F7"/>
    <w:rsid w:val="0063427C"/>
    <w:rsid w:val="0063496A"/>
    <w:rsid w:val="0063586E"/>
    <w:rsid w:val="00646051"/>
    <w:rsid w:val="00646C18"/>
    <w:rsid w:val="006523B1"/>
    <w:rsid w:val="00654562"/>
    <w:rsid w:val="006563D4"/>
    <w:rsid w:val="0065683B"/>
    <w:rsid w:val="006572FD"/>
    <w:rsid w:val="006618B9"/>
    <w:rsid w:val="006641D9"/>
    <w:rsid w:val="0066488B"/>
    <w:rsid w:val="00666B81"/>
    <w:rsid w:val="0067077F"/>
    <w:rsid w:val="00671806"/>
    <w:rsid w:val="00673D15"/>
    <w:rsid w:val="0067780E"/>
    <w:rsid w:val="00682821"/>
    <w:rsid w:val="00692213"/>
    <w:rsid w:val="00692DB1"/>
    <w:rsid w:val="0069342B"/>
    <w:rsid w:val="0069650D"/>
    <w:rsid w:val="006A11DE"/>
    <w:rsid w:val="006A16B2"/>
    <w:rsid w:val="006A2135"/>
    <w:rsid w:val="006A2B0B"/>
    <w:rsid w:val="006B03D3"/>
    <w:rsid w:val="006B2960"/>
    <w:rsid w:val="006B3872"/>
    <w:rsid w:val="006B3E09"/>
    <w:rsid w:val="006B4263"/>
    <w:rsid w:val="006B5E4C"/>
    <w:rsid w:val="006B6135"/>
    <w:rsid w:val="006B6590"/>
    <w:rsid w:val="006C2C94"/>
    <w:rsid w:val="006D008D"/>
    <w:rsid w:val="006D4386"/>
    <w:rsid w:val="006D5205"/>
    <w:rsid w:val="006D6381"/>
    <w:rsid w:val="006D68D9"/>
    <w:rsid w:val="006D740E"/>
    <w:rsid w:val="006E4639"/>
    <w:rsid w:val="00700008"/>
    <w:rsid w:val="00700515"/>
    <w:rsid w:val="007044B4"/>
    <w:rsid w:val="007109CE"/>
    <w:rsid w:val="007138CA"/>
    <w:rsid w:val="00727732"/>
    <w:rsid w:val="00727C9A"/>
    <w:rsid w:val="00731927"/>
    <w:rsid w:val="007471EE"/>
    <w:rsid w:val="00750487"/>
    <w:rsid w:val="00750FA4"/>
    <w:rsid w:val="007519D3"/>
    <w:rsid w:val="00753928"/>
    <w:rsid w:val="0075772F"/>
    <w:rsid w:val="00762028"/>
    <w:rsid w:val="007677E7"/>
    <w:rsid w:val="00770720"/>
    <w:rsid w:val="00775916"/>
    <w:rsid w:val="0077690B"/>
    <w:rsid w:val="00776A61"/>
    <w:rsid w:val="00776BB1"/>
    <w:rsid w:val="0077790E"/>
    <w:rsid w:val="00782574"/>
    <w:rsid w:val="00782C98"/>
    <w:rsid w:val="00786498"/>
    <w:rsid w:val="00787468"/>
    <w:rsid w:val="0078787B"/>
    <w:rsid w:val="00792BFC"/>
    <w:rsid w:val="007933B4"/>
    <w:rsid w:val="00793FE1"/>
    <w:rsid w:val="00796812"/>
    <w:rsid w:val="00797694"/>
    <w:rsid w:val="007976B9"/>
    <w:rsid w:val="007A3099"/>
    <w:rsid w:val="007A3A62"/>
    <w:rsid w:val="007A6388"/>
    <w:rsid w:val="007A778A"/>
    <w:rsid w:val="007C1768"/>
    <w:rsid w:val="007C2417"/>
    <w:rsid w:val="007C24BC"/>
    <w:rsid w:val="007C6FBA"/>
    <w:rsid w:val="007D181C"/>
    <w:rsid w:val="007D28B7"/>
    <w:rsid w:val="007D2EBD"/>
    <w:rsid w:val="007D5597"/>
    <w:rsid w:val="007D6883"/>
    <w:rsid w:val="007E2334"/>
    <w:rsid w:val="007E2C34"/>
    <w:rsid w:val="007E66DE"/>
    <w:rsid w:val="007F0FAC"/>
    <w:rsid w:val="007F6AE3"/>
    <w:rsid w:val="007F7C0A"/>
    <w:rsid w:val="008031B5"/>
    <w:rsid w:val="008054A3"/>
    <w:rsid w:val="00806236"/>
    <w:rsid w:val="0080646F"/>
    <w:rsid w:val="00810A15"/>
    <w:rsid w:val="00815587"/>
    <w:rsid w:val="00817A5D"/>
    <w:rsid w:val="00833053"/>
    <w:rsid w:val="008352DB"/>
    <w:rsid w:val="0084011A"/>
    <w:rsid w:val="008402DE"/>
    <w:rsid w:val="00852046"/>
    <w:rsid w:val="008521EC"/>
    <w:rsid w:val="00853055"/>
    <w:rsid w:val="008556B8"/>
    <w:rsid w:val="00855C33"/>
    <w:rsid w:val="00860B34"/>
    <w:rsid w:val="00861C4E"/>
    <w:rsid w:val="00863AA6"/>
    <w:rsid w:val="0086492C"/>
    <w:rsid w:val="00872A6D"/>
    <w:rsid w:val="00874CCE"/>
    <w:rsid w:val="00875AD6"/>
    <w:rsid w:val="00876704"/>
    <w:rsid w:val="0088194B"/>
    <w:rsid w:val="0088529B"/>
    <w:rsid w:val="00885741"/>
    <w:rsid w:val="00886C2D"/>
    <w:rsid w:val="00890854"/>
    <w:rsid w:val="008925A7"/>
    <w:rsid w:val="00894411"/>
    <w:rsid w:val="00894595"/>
    <w:rsid w:val="008A40AB"/>
    <w:rsid w:val="008A5BEA"/>
    <w:rsid w:val="008B36DE"/>
    <w:rsid w:val="008B5AA2"/>
    <w:rsid w:val="008C7FCB"/>
    <w:rsid w:val="008D2D17"/>
    <w:rsid w:val="008D5018"/>
    <w:rsid w:val="008D5CC7"/>
    <w:rsid w:val="008D5E0D"/>
    <w:rsid w:val="008D64A8"/>
    <w:rsid w:val="008E0E01"/>
    <w:rsid w:val="008E505E"/>
    <w:rsid w:val="008E7F04"/>
    <w:rsid w:val="008F50E1"/>
    <w:rsid w:val="008F51AF"/>
    <w:rsid w:val="008F610E"/>
    <w:rsid w:val="008F7131"/>
    <w:rsid w:val="008F7670"/>
    <w:rsid w:val="008F78F5"/>
    <w:rsid w:val="009005C6"/>
    <w:rsid w:val="00900D42"/>
    <w:rsid w:val="009020BD"/>
    <w:rsid w:val="0091073B"/>
    <w:rsid w:val="0091108E"/>
    <w:rsid w:val="00912967"/>
    <w:rsid w:val="00913718"/>
    <w:rsid w:val="00913744"/>
    <w:rsid w:val="00914C7B"/>
    <w:rsid w:val="00920094"/>
    <w:rsid w:val="00923816"/>
    <w:rsid w:val="009267E1"/>
    <w:rsid w:val="0093189D"/>
    <w:rsid w:val="00932B24"/>
    <w:rsid w:val="009401DF"/>
    <w:rsid w:val="00941554"/>
    <w:rsid w:val="00944A19"/>
    <w:rsid w:val="00950577"/>
    <w:rsid w:val="00953613"/>
    <w:rsid w:val="00960DF1"/>
    <w:rsid w:val="00965B51"/>
    <w:rsid w:val="009661F8"/>
    <w:rsid w:val="00971166"/>
    <w:rsid w:val="00971FEE"/>
    <w:rsid w:val="0097464A"/>
    <w:rsid w:val="00974E9A"/>
    <w:rsid w:val="00975F10"/>
    <w:rsid w:val="00976B43"/>
    <w:rsid w:val="00981888"/>
    <w:rsid w:val="00981F2E"/>
    <w:rsid w:val="009925CF"/>
    <w:rsid w:val="009936CA"/>
    <w:rsid w:val="009A6A7F"/>
    <w:rsid w:val="009B098B"/>
    <w:rsid w:val="009B0FB2"/>
    <w:rsid w:val="009B2407"/>
    <w:rsid w:val="009B4128"/>
    <w:rsid w:val="009B5FF3"/>
    <w:rsid w:val="009C1309"/>
    <w:rsid w:val="009C30C8"/>
    <w:rsid w:val="009C48A0"/>
    <w:rsid w:val="009C54CF"/>
    <w:rsid w:val="009C78A7"/>
    <w:rsid w:val="009D1495"/>
    <w:rsid w:val="009D5B76"/>
    <w:rsid w:val="009E559C"/>
    <w:rsid w:val="009E5AF3"/>
    <w:rsid w:val="009F21E7"/>
    <w:rsid w:val="009F2656"/>
    <w:rsid w:val="009F4541"/>
    <w:rsid w:val="009F4CE9"/>
    <w:rsid w:val="009F6C04"/>
    <w:rsid w:val="009F7BC3"/>
    <w:rsid w:val="00A0165B"/>
    <w:rsid w:val="00A02942"/>
    <w:rsid w:val="00A02DAE"/>
    <w:rsid w:val="00A039EE"/>
    <w:rsid w:val="00A07F1A"/>
    <w:rsid w:val="00A11E0C"/>
    <w:rsid w:val="00A177F9"/>
    <w:rsid w:val="00A20089"/>
    <w:rsid w:val="00A23973"/>
    <w:rsid w:val="00A308EF"/>
    <w:rsid w:val="00A3452C"/>
    <w:rsid w:val="00A34A31"/>
    <w:rsid w:val="00A363A7"/>
    <w:rsid w:val="00A3640F"/>
    <w:rsid w:val="00A37571"/>
    <w:rsid w:val="00A37C92"/>
    <w:rsid w:val="00A43696"/>
    <w:rsid w:val="00A4466A"/>
    <w:rsid w:val="00A510BB"/>
    <w:rsid w:val="00A5227D"/>
    <w:rsid w:val="00A56447"/>
    <w:rsid w:val="00A56CA5"/>
    <w:rsid w:val="00A607CE"/>
    <w:rsid w:val="00A63C66"/>
    <w:rsid w:val="00A701EC"/>
    <w:rsid w:val="00A70892"/>
    <w:rsid w:val="00A75DF4"/>
    <w:rsid w:val="00A800D3"/>
    <w:rsid w:val="00A80C43"/>
    <w:rsid w:val="00A80E1B"/>
    <w:rsid w:val="00A8400E"/>
    <w:rsid w:val="00A84A4C"/>
    <w:rsid w:val="00A90BC0"/>
    <w:rsid w:val="00A94D7D"/>
    <w:rsid w:val="00AA028E"/>
    <w:rsid w:val="00AA142F"/>
    <w:rsid w:val="00AA55E1"/>
    <w:rsid w:val="00AB0D77"/>
    <w:rsid w:val="00AB15B5"/>
    <w:rsid w:val="00AC2D43"/>
    <w:rsid w:val="00AC5E30"/>
    <w:rsid w:val="00AC6590"/>
    <w:rsid w:val="00AD0ECC"/>
    <w:rsid w:val="00AD10D3"/>
    <w:rsid w:val="00AD18EF"/>
    <w:rsid w:val="00AD1AAB"/>
    <w:rsid w:val="00AD5E36"/>
    <w:rsid w:val="00AD678D"/>
    <w:rsid w:val="00AE1903"/>
    <w:rsid w:val="00AE1F0A"/>
    <w:rsid w:val="00AE4CCF"/>
    <w:rsid w:val="00AE7F1F"/>
    <w:rsid w:val="00AF4A3B"/>
    <w:rsid w:val="00AF5E00"/>
    <w:rsid w:val="00B02DFC"/>
    <w:rsid w:val="00B1345E"/>
    <w:rsid w:val="00B173E2"/>
    <w:rsid w:val="00B17EED"/>
    <w:rsid w:val="00B232B7"/>
    <w:rsid w:val="00B24C51"/>
    <w:rsid w:val="00B25CFC"/>
    <w:rsid w:val="00B26031"/>
    <w:rsid w:val="00B2664D"/>
    <w:rsid w:val="00B32ABA"/>
    <w:rsid w:val="00B405AA"/>
    <w:rsid w:val="00B40A67"/>
    <w:rsid w:val="00B53239"/>
    <w:rsid w:val="00B54E32"/>
    <w:rsid w:val="00B61135"/>
    <w:rsid w:val="00B63FCD"/>
    <w:rsid w:val="00B643B7"/>
    <w:rsid w:val="00B655ED"/>
    <w:rsid w:val="00B71734"/>
    <w:rsid w:val="00B729C4"/>
    <w:rsid w:val="00B75989"/>
    <w:rsid w:val="00B75AC1"/>
    <w:rsid w:val="00B767C6"/>
    <w:rsid w:val="00B8135D"/>
    <w:rsid w:val="00B82944"/>
    <w:rsid w:val="00B82A38"/>
    <w:rsid w:val="00B84E64"/>
    <w:rsid w:val="00B93219"/>
    <w:rsid w:val="00BA022F"/>
    <w:rsid w:val="00BA4881"/>
    <w:rsid w:val="00BB1AE1"/>
    <w:rsid w:val="00BB3125"/>
    <w:rsid w:val="00BB72E3"/>
    <w:rsid w:val="00BC09A5"/>
    <w:rsid w:val="00BC0BBA"/>
    <w:rsid w:val="00BC4B7D"/>
    <w:rsid w:val="00BC5240"/>
    <w:rsid w:val="00BC78B1"/>
    <w:rsid w:val="00BD6787"/>
    <w:rsid w:val="00BE03A7"/>
    <w:rsid w:val="00BE06E0"/>
    <w:rsid w:val="00BE314B"/>
    <w:rsid w:val="00BE3E9E"/>
    <w:rsid w:val="00BE454E"/>
    <w:rsid w:val="00BE4786"/>
    <w:rsid w:val="00BE6698"/>
    <w:rsid w:val="00BF74FA"/>
    <w:rsid w:val="00C035F4"/>
    <w:rsid w:val="00C05A22"/>
    <w:rsid w:val="00C0662A"/>
    <w:rsid w:val="00C06D9D"/>
    <w:rsid w:val="00C1021C"/>
    <w:rsid w:val="00C10712"/>
    <w:rsid w:val="00C11517"/>
    <w:rsid w:val="00C13F40"/>
    <w:rsid w:val="00C33AE0"/>
    <w:rsid w:val="00C366C8"/>
    <w:rsid w:val="00C423C0"/>
    <w:rsid w:val="00C43797"/>
    <w:rsid w:val="00C46164"/>
    <w:rsid w:val="00C60C28"/>
    <w:rsid w:val="00C63980"/>
    <w:rsid w:val="00C72EB4"/>
    <w:rsid w:val="00C77BFF"/>
    <w:rsid w:val="00C8258F"/>
    <w:rsid w:val="00C8263F"/>
    <w:rsid w:val="00C83856"/>
    <w:rsid w:val="00C84AB4"/>
    <w:rsid w:val="00C85620"/>
    <w:rsid w:val="00C9039D"/>
    <w:rsid w:val="00C90C8F"/>
    <w:rsid w:val="00C92BE0"/>
    <w:rsid w:val="00C9789B"/>
    <w:rsid w:val="00C97CE6"/>
    <w:rsid w:val="00CB0191"/>
    <w:rsid w:val="00CB0978"/>
    <w:rsid w:val="00CB24FA"/>
    <w:rsid w:val="00CB4F07"/>
    <w:rsid w:val="00CB56A5"/>
    <w:rsid w:val="00CB77F2"/>
    <w:rsid w:val="00CB7D8A"/>
    <w:rsid w:val="00CC2E51"/>
    <w:rsid w:val="00CC494F"/>
    <w:rsid w:val="00CC5FA4"/>
    <w:rsid w:val="00CD3C67"/>
    <w:rsid w:val="00CD50CA"/>
    <w:rsid w:val="00CD6596"/>
    <w:rsid w:val="00CE1052"/>
    <w:rsid w:val="00CE2A1D"/>
    <w:rsid w:val="00CE3E0F"/>
    <w:rsid w:val="00CE47BD"/>
    <w:rsid w:val="00CE4F4E"/>
    <w:rsid w:val="00CE5B14"/>
    <w:rsid w:val="00CE64A9"/>
    <w:rsid w:val="00CE6DA2"/>
    <w:rsid w:val="00CE6F3B"/>
    <w:rsid w:val="00CF3F5A"/>
    <w:rsid w:val="00D020C6"/>
    <w:rsid w:val="00D041D1"/>
    <w:rsid w:val="00D11CCD"/>
    <w:rsid w:val="00D16E03"/>
    <w:rsid w:val="00D26C2E"/>
    <w:rsid w:val="00D31F87"/>
    <w:rsid w:val="00D32A0E"/>
    <w:rsid w:val="00D350BC"/>
    <w:rsid w:val="00D35E03"/>
    <w:rsid w:val="00D370F8"/>
    <w:rsid w:val="00D43D18"/>
    <w:rsid w:val="00D5032E"/>
    <w:rsid w:val="00D5259B"/>
    <w:rsid w:val="00D5552A"/>
    <w:rsid w:val="00D55784"/>
    <w:rsid w:val="00D574BE"/>
    <w:rsid w:val="00D61304"/>
    <w:rsid w:val="00D616C0"/>
    <w:rsid w:val="00D61C55"/>
    <w:rsid w:val="00D720A5"/>
    <w:rsid w:val="00D755C1"/>
    <w:rsid w:val="00D75732"/>
    <w:rsid w:val="00D76E9A"/>
    <w:rsid w:val="00D813C2"/>
    <w:rsid w:val="00D85B72"/>
    <w:rsid w:val="00D86D69"/>
    <w:rsid w:val="00D87D86"/>
    <w:rsid w:val="00D87E66"/>
    <w:rsid w:val="00D90225"/>
    <w:rsid w:val="00D915D9"/>
    <w:rsid w:val="00D91AA7"/>
    <w:rsid w:val="00D930A6"/>
    <w:rsid w:val="00D933C4"/>
    <w:rsid w:val="00D944A1"/>
    <w:rsid w:val="00D95877"/>
    <w:rsid w:val="00DA2CE2"/>
    <w:rsid w:val="00DB3C47"/>
    <w:rsid w:val="00DB69CA"/>
    <w:rsid w:val="00DC2D24"/>
    <w:rsid w:val="00DD6EFB"/>
    <w:rsid w:val="00DE09ED"/>
    <w:rsid w:val="00DE4566"/>
    <w:rsid w:val="00DE5FA3"/>
    <w:rsid w:val="00DF0EEF"/>
    <w:rsid w:val="00DF1193"/>
    <w:rsid w:val="00DF3179"/>
    <w:rsid w:val="00DF4F51"/>
    <w:rsid w:val="00DF52F1"/>
    <w:rsid w:val="00DF5CF5"/>
    <w:rsid w:val="00DF5D75"/>
    <w:rsid w:val="00DF6166"/>
    <w:rsid w:val="00E06A34"/>
    <w:rsid w:val="00E11937"/>
    <w:rsid w:val="00E11C72"/>
    <w:rsid w:val="00E15428"/>
    <w:rsid w:val="00E161AE"/>
    <w:rsid w:val="00E166A8"/>
    <w:rsid w:val="00E166E3"/>
    <w:rsid w:val="00E229D8"/>
    <w:rsid w:val="00E26495"/>
    <w:rsid w:val="00E26C56"/>
    <w:rsid w:val="00E33787"/>
    <w:rsid w:val="00E41C6B"/>
    <w:rsid w:val="00E519ED"/>
    <w:rsid w:val="00E57FC0"/>
    <w:rsid w:val="00E70A75"/>
    <w:rsid w:val="00E712FC"/>
    <w:rsid w:val="00E72394"/>
    <w:rsid w:val="00E741FF"/>
    <w:rsid w:val="00E755F7"/>
    <w:rsid w:val="00E768FA"/>
    <w:rsid w:val="00E816FE"/>
    <w:rsid w:val="00E86CD7"/>
    <w:rsid w:val="00E87DB5"/>
    <w:rsid w:val="00E958CB"/>
    <w:rsid w:val="00E958D3"/>
    <w:rsid w:val="00EA01F8"/>
    <w:rsid w:val="00EA552D"/>
    <w:rsid w:val="00EB2981"/>
    <w:rsid w:val="00EB60CD"/>
    <w:rsid w:val="00EB6F26"/>
    <w:rsid w:val="00EC0027"/>
    <w:rsid w:val="00EC7FA3"/>
    <w:rsid w:val="00ED017F"/>
    <w:rsid w:val="00ED5A1C"/>
    <w:rsid w:val="00EE306C"/>
    <w:rsid w:val="00EE5ECB"/>
    <w:rsid w:val="00EE67B5"/>
    <w:rsid w:val="00EE7117"/>
    <w:rsid w:val="00EF3167"/>
    <w:rsid w:val="00F009F5"/>
    <w:rsid w:val="00F02B2F"/>
    <w:rsid w:val="00F049B2"/>
    <w:rsid w:val="00F0577E"/>
    <w:rsid w:val="00F05EA7"/>
    <w:rsid w:val="00F0633E"/>
    <w:rsid w:val="00F137FE"/>
    <w:rsid w:val="00F17C99"/>
    <w:rsid w:val="00F2408B"/>
    <w:rsid w:val="00F266E6"/>
    <w:rsid w:val="00F27BFB"/>
    <w:rsid w:val="00F32928"/>
    <w:rsid w:val="00F379E2"/>
    <w:rsid w:val="00F37F48"/>
    <w:rsid w:val="00F42401"/>
    <w:rsid w:val="00F4287F"/>
    <w:rsid w:val="00F46930"/>
    <w:rsid w:val="00F53B60"/>
    <w:rsid w:val="00F5441B"/>
    <w:rsid w:val="00F57236"/>
    <w:rsid w:val="00F57AF4"/>
    <w:rsid w:val="00F64277"/>
    <w:rsid w:val="00F737BB"/>
    <w:rsid w:val="00F76A7D"/>
    <w:rsid w:val="00F803B6"/>
    <w:rsid w:val="00F8355F"/>
    <w:rsid w:val="00F85DA6"/>
    <w:rsid w:val="00F933E1"/>
    <w:rsid w:val="00F94F36"/>
    <w:rsid w:val="00FA0716"/>
    <w:rsid w:val="00FA6788"/>
    <w:rsid w:val="00FB03BB"/>
    <w:rsid w:val="00FB29B6"/>
    <w:rsid w:val="00FB38FB"/>
    <w:rsid w:val="00FB4CC2"/>
    <w:rsid w:val="00FB4E8B"/>
    <w:rsid w:val="00FB4E95"/>
    <w:rsid w:val="00FB5CA0"/>
    <w:rsid w:val="00FB71D7"/>
    <w:rsid w:val="00FC4330"/>
    <w:rsid w:val="00FD01B5"/>
    <w:rsid w:val="00FD0422"/>
    <w:rsid w:val="00FD51B4"/>
    <w:rsid w:val="00FD7788"/>
    <w:rsid w:val="00FE1E49"/>
    <w:rsid w:val="00FE29E4"/>
    <w:rsid w:val="00FE482C"/>
    <w:rsid w:val="00FE606C"/>
    <w:rsid w:val="00FE60FC"/>
    <w:rsid w:val="00FF05AB"/>
    <w:rsid w:val="00FF0ECD"/>
    <w:rsid w:val="00FF3CD7"/>
    <w:rsid w:val="00FF49F2"/>
    <w:rsid w:val="00FF6301"/>
    <w:rsid w:val="00FF69AD"/>
    <w:rsid w:val="00FF7CB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82273"/>
    <o:shapelayout v:ext="edit">
      <o:idmap v:ext="edit" data="1"/>
    </o:shapelayout>
  </w:shapeDefaults>
  <w:decimalSymbol w:val=","/>
  <w:listSeparator w:val=";"/>
  <w14:docId w14:val="5785C0B0"/>
  <w15:docId w15:val="{BAB4D0F9-1400-4A51-9F31-7E1547A5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1F41CA"/>
    <w:pPr>
      <w:spacing w:after="0" w:line="240" w:lineRule="auto"/>
      <w:jc w:val="both"/>
    </w:pPr>
    <w:rPr>
      <w:rFonts w:ascii="Calibri" w:hAnsi="Calibri"/>
      <w:sz w:val="20"/>
      <w:lang w:bidi="sa-IN"/>
    </w:rPr>
  </w:style>
  <w:style w:type="paragraph" w:styleId="Nadpis1">
    <w:name w:val="heading 1"/>
    <w:aliases w:val="Outline1"/>
    <w:basedOn w:val="Normlny"/>
    <w:next w:val="Normlny"/>
    <w:link w:val="Nadpis1Char"/>
    <w:uiPriority w:val="9"/>
    <w:qFormat/>
    <w:rsid w:val="001F41CA"/>
    <w:pPr>
      <w:keepNext/>
      <w:keepLines/>
      <w:numPr>
        <w:numId w:val="1"/>
      </w:numPr>
      <w:tabs>
        <w:tab w:val="left" w:pos="567"/>
      </w:tabs>
      <w:spacing w:before="240"/>
      <w:ind w:left="567" w:hanging="567"/>
      <w:outlineLvl w:val="0"/>
    </w:pPr>
    <w:rPr>
      <w:rFonts w:eastAsiaTheme="majorEastAsia" w:cstheme="majorBidi"/>
      <w:b/>
      <w:bCs/>
      <w:caps/>
      <w:sz w:val="22"/>
      <w:szCs w:val="25"/>
      <w:u w:val="single"/>
    </w:rPr>
  </w:style>
  <w:style w:type="paragraph" w:styleId="Nadpis2">
    <w:name w:val="heading 2"/>
    <w:aliases w:val="Podkapitola,Outline2"/>
    <w:basedOn w:val="Normlny"/>
    <w:next w:val="Normlny"/>
    <w:link w:val="Nadpis2Char"/>
    <w:uiPriority w:val="9"/>
    <w:unhideWhenUsed/>
    <w:qFormat/>
    <w:rsid w:val="00EB60CD"/>
    <w:pPr>
      <w:keepNext/>
      <w:keepLines/>
      <w:numPr>
        <w:ilvl w:val="1"/>
        <w:numId w:val="1"/>
      </w:numPr>
      <w:tabs>
        <w:tab w:val="left" w:pos="567"/>
      </w:tabs>
      <w:spacing w:before="240"/>
      <w:ind w:left="0" w:firstLine="0"/>
      <w:outlineLvl w:val="1"/>
    </w:pPr>
    <w:rPr>
      <w:rFonts w:eastAsiaTheme="majorEastAsia" w:cstheme="majorBidi"/>
      <w:b/>
      <w:bCs/>
      <w:szCs w:val="23"/>
    </w:rPr>
  </w:style>
  <w:style w:type="paragraph" w:styleId="Nadpis3">
    <w:name w:val="heading 3"/>
    <w:aliases w:val="Outline3"/>
    <w:basedOn w:val="Nadpis2"/>
    <w:next w:val="Normlny"/>
    <w:link w:val="Nadpis3Char"/>
    <w:uiPriority w:val="9"/>
    <w:unhideWhenUsed/>
    <w:qFormat/>
    <w:rsid w:val="00817A5D"/>
    <w:pPr>
      <w:numPr>
        <w:ilvl w:val="2"/>
      </w:numPr>
      <w:jc w:val="left"/>
      <w:outlineLvl w:val="2"/>
    </w:pPr>
  </w:style>
  <w:style w:type="paragraph" w:styleId="Nadpis4">
    <w:name w:val="heading 4"/>
    <w:basedOn w:val="Nadpis1"/>
    <w:next w:val="Normlny"/>
    <w:link w:val="Nadpis4Char"/>
    <w:uiPriority w:val="9"/>
    <w:unhideWhenUsed/>
    <w:qFormat/>
    <w:rsid w:val="004F4C31"/>
    <w:pPr>
      <w:numPr>
        <w:ilvl w:val="3"/>
      </w:numPr>
      <w:spacing w:before="120"/>
      <w:outlineLvl w:val="3"/>
    </w:pPr>
    <w:rPr>
      <w:bCs w:val="0"/>
      <w:iCs/>
      <w:caps w:val="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aliases w:val="Podkapitola Char,Outline2 Char"/>
    <w:basedOn w:val="Predvolenpsmoodseku"/>
    <w:link w:val="Nadpis2"/>
    <w:uiPriority w:val="9"/>
    <w:rsid w:val="00EB60CD"/>
    <w:rPr>
      <w:rFonts w:ascii="Calibri" w:eastAsiaTheme="majorEastAsia" w:hAnsi="Calibri" w:cstheme="majorBidi"/>
      <w:b/>
      <w:bCs/>
      <w:sz w:val="20"/>
      <w:szCs w:val="23"/>
      <w:lang w:bidi="sa-IN"/>
    </w:rPr>
  </w:style>
  <w:style w:type="character" w:customStyle="1" w:styleId="Nadpis1Char">
    <w:name w:val="Nadpis 1 Char"/>
    <w:aliases w:val="Outline1 Char"/>
    <w:basedOn w:val="Predvolenpsmoodseku"/>
    <w:link w:val="Nadpis1"/>
    <w:uiPriority w:val="9"/>
    <w:rsid w:val="001F41CA"/>
    <w:rPr>
      <w:rFonts w:ascii="Calibri" w:eastAsiaTheme="majorEastAsia" w:hAnsi="Calibri" w:cstheme="majorBidi"/>
      <w:b/>
      <w:bCs/>
      <w:caps/>
      <w:szCs w:val="25"/>
      <w:u w:val="single"/>
      <w:lang w:bidi="sa-IN"/>
    </w:rPr>
  </w:style>
  <w:style w:type="character" w:customStyle="1" w:styleId="Nadpis3Char">
    <w:name w:val="Nadpis 3 Char"/>
    <w:aliases w:val="Outline3 Char"/>
    <w:basedOn w:val="Predvolenpsmoodseku"/>
    <w:link w:val="Nadpis3"/>
    <w:uiPriority w:val="9"/>
    <w:rsid w:val="00817A5D"/>
    <w:rPr>
      <w:rFonts w:ascii="Calibri" w:eastAsiaTheme="majorEastAsia" w:hAnsi="Calibri" w:cstheme="majorBidi"/>
      <w:b/>
      <w:bCs/>
      <w:sz w:val="20"/>
      <w:szCs w:val="23"/>
      <w:lang w:bidi="sa-IN"/>
    </w:rPr>
  </w:style>
  <w:style w:type="character" w:customStyle="1" w:styleId="Nadpis4Char">
    <w:name w:val="Nadpis 4 Char"/>
    <w:basedOn w:val="Predvolenpsmoodseku"/>
    <w:link w:val="Nadpis4"/>
    <w:uiPriority w:val="9"/>
    <w:rsid w:val="004F4C31"/>
    <w:rPr>
      <w:rFonts w:ascii="Calibri" w:eastAsiaTheme="majorEastAsia" w:hAnsi="Calibri" w:cstheme="majorBidi"/>
      <w:b/>
      <w:iCs/>
      <w:szCs w:val="20"/>
      <w:u w:val="single"/>
      <w:lang w:bidi="sa-IN"/>
    </w:rPr>
  </w:style>
  <w:style w:type="paragraph" w:styleId="Nzov">
    <w:name w:val="Title"/>
    <w:basedOn w:val="Nadpis1"/>
    <w:next w:val="Normlny"/>
    <w:link w:val="NzovChar"/>
    <w:uiPriority w:val="10"/>
    <w:qFormat/>
    <w:rsid w:val="00432401"/>
    <w:pPr>
      <w:numPr>
        <w:numId w:val="0"/>
      </w:numPr>
      <w:spacing w:before="0"/>
      <w:contextualSpacing/>
      <w:jc w:val="center"/>
    </w:pPr>
    <w:rPr>
      <w:spacing w:val="5"/>
      <w:kern w:val="28"/>
      <w:sz w:val="28"/>
      <w:szCs w:val="47"/>
    </w:rPr>
  </w:style>
  <w:style w:type="character" w:customStyle="1" w:styleId="NzovChar">
    <w:name w:val="Názov Char"/>
    <w:basedOn w:val="Predvolenpsmoodseku"/>
    <w:link w:val="Nzov"/>
    <w:uiPriority w:val="10"/>
    <w:rsid w:val="00432401"/>
    <w:rPr>
      <w:rFonts w:ascii="Calibri" w:eastAsiaTheme="majorEastAsia" w:hAnsi="Calibri" w:cstheme="majorBidi"/>
      <w:b/>
      <w:bCs/>
      <w:caps/>
      <w:spacing w:val="5"/>
      <w:kern w:val="28"/>
      <w:sz w:val="28"/>
      <w:szCs w:val="47"/>
      <w:u w:val="single"/>
      <w:lang w:bidi="sa-IN"/>
    </w:rPr>
  </w:style>
  <w:style w:type="paragraph" w:styleId="Hlavika">
    <w:name w:val="header"/>
    <w:basedOn w:val="Normlny"/>
    <w:link w:val="HlavikaChar"/>
    <w:uiPriority w:val="99"/>
    <w:unhideWhenUsed/>
    <w:rsid w:val="00D85B72"/>
    <w:pPr>
      <w:tabs>
        <w:tab w:val="center" w:pos="4536"/>
        <w:tab w:val="right" w:pos="9072"/>
      </w:tabs>
    </w:pPr>
    <w:rPr>
      <w:szCs w:val="20"/>
    </w:rPr>
  </w:style>
  <w:style w:type="character" w:customStyle="1" w:styleId="HlavikaChar">
    <w:name w:val="Hlavička Char"/>
    <w:basedOn w:val="Predvolenpsmoodseku"/>
    <w:link w:val="Hlavika"/>
    <w:uiPriority w:val="99"/>
    <w:rsid w:val="00D85B72"/>
    <w:rPr>
      <w:rFonts w:ascii="Arial Narrow" w:hAnsi="Arial Narrow"/>
      <w:noProof/>
      <w:szCs w:val="20"/>
      <w:lang w:bidi="sa-IN"/>
    </w:rPr>
  </w:style>
  <w:style w:type="paragraph" w:styleId="Pta">
    <w:name w:val="footer"/>
    <w:basedOn w:val="Normlny"/>
    <w:link w:val="PtaChar"/>
    <w:uiPriority w:val="99"/>
    <w:unhideWhenUsed/>
    <w:rsid w:val="00D85B72"/>
    <w:pPr>
      <w:tabs>
        <w:tab w:val="center" w:pos="4536"/>
        <w:tab w:val="right" w:pos="9072"/>
      </w:tabs>
    </w:pPr>
    <w:rPr>
      <w:szCs w:val="20"/>
    </w:rPr>
  </w:style>
  <w:style w:type="character" w:customStyle="1" w:styleId="PtaChar">
    <w:name w:val="Päta Char"/>
    <w:basedOn w:val="Predvolenpsmoodseku"/>
    <w:link w:val="Pta"/>
    <w:uiPriority w:val="99"/>
    <w:rsid w:val="00D85B72"/>
    <w:rPr>
      <w:rFonts w:ascii="Arial Narrow" w:hAnsi="Arial Narrow"/>
      <w:noProof/>
      <w:szCs w:val="20"/>
      <w:lang w:bidi="sa-IN"/>
    </w:rPr>
  </w:style>
  <w:style w:type="paragraph" w:styleId="Odsekzoznamu">
    <w:name w:val="List Paragraph"/>
    <w:basedOn w:val="Normlny"/>
    <w:link w:val="OdsekzoznamuChar"/>
    <w:uiPriority w:val="34"/>
    <w:qFormat/>
    <w:rsid w:val="00245A0D"/>
    <w:pPr>
      <w:ind w:left="720"/>
      <w:contextualSpacing/>
    </w:pPr>
    <w:rPr>
      <w:szCs w:val="20"/>
    </w:rPr>
  </w:style>
  <w:style w:type="character" w:customStyle="1" w:styleId="OdsekzoznamuChar">
    <w:name w:val="Odsek zoznamu Char"/>
    <w:basedOn w:val="Predvolenpsmoodseku"/>
    <w:link w:val="Odsekzoznamu"/>
    <w:uiPriority w:val="34"/>
    <w:locked/>
    <w:rsid w:val="00245A0D"/>
    <w:rPr>
      <w:rFonts w:ascii="Arial Narrow" w:hAnsi="Arial Narrow"/>
      <w:szCs w:val="20"/>
      <w:lang w:bidi="sa-IN"/>
    </w:rPr>
  </w:style>
  <w:style w:type="table" w:styleId="Mriekatabuky">
    <w:name w:val="Table Grid"/>
    <w:basedOn w:val="Normlnatabuka"/>
    <w:uiPriority w:val="59"/>
    <w:rsid w:val="00245A0D"/>
    <w:pPr>
      <w:spacing w:after="0" w:line="240" w:lineRule="auto"/>
    </w:pPr>
    <w:rPr>
      <w:lang w:val="cs-CZ"/>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rmtext">
    <w:name w:val="formtext"/>
    <w:basedOn w:val="Predvolenpsmoodseku"/>
    <w:rsid w:val="00245A0D"/>
  </w:style>
  <w:style w:type="paragraph" w:styleId="Textbubliny">
    <w:name w:val="Balloon Text"/>
    <w:basedOn w:val="Normlny"/>
    <w:link w:val="TextbublinyChar"/>
    <w:uiPriority w:val="99"/>
    <w:semiHidden/>
    <w:unhideWhenUsed/>
    <w:rsid w:val="00C97CE6"/>
    <w:rPr>
      <w:rFonts w:ascii="Tahoma" w:hAnsi="Tahoma" w:cs="Tahoma"/>
      <w:sz w:val="16"/>
      <w:szCs w:val="14"/>
    </w:rPr>
  </w:style>
  <w:style w:type="character" w:customStyle="1" w:styleId="TextbublinyChar">
    <w:name w:val="Text bubliny Char"/>
    <w:basedOn w:val="Predvolenpsmoodseku"/>
    <w:link w:val="Textbubliny"/>
    <w:uiPriority w:val="99"/>
    <w:semiHidden/>
    <w:rsid w:val="00C97CE6"/>
    <w:rPr>
      <w:rFonts w:ascii="Tahoma" w:hAnsi="Tahoma" w:cs="Tahoma"/>
      <w:noProof/>
      <w:sz w:val="16"/>
      <w:szCs w:val="14"/>
      <w:lang w:bidi="sa-IN"/>
    </w:rPr>
  </w:style>
  <w:style w:type="paragraph" w:customStyle="1" w:styleId="Default">
    <w:name w:val="Default"/>
    <w:rsid w:val="00E26495"/>
    <w:pPr>
      <w:autoSpaceDE w:val="0"/>
      <w:autoSpaceDN w:val="0"/>
      <w:adjustRightInd w:val="0"/>
      <w:spacing w:after="0" w:line="240" w:lineRule="auto"/>
    </w:pPr>
    <w:rPr>
      <w:rFonts w:ascii="Arial" w:hAnsi="Arial" w:cs="Arial"/>
      <w:color w:val="000000"/>
      <w:sz w:val="24"/>
      <w:szCs w:val="24"/>
    </w:rPr>
  </w:style>
  <w:style w:type="character" w:styleId="Zstupntext">
    <w:name w:val="Placeholder Text"/>
    <w:basedOn w:val="Predvolenpsmoodseku"/>
    <w:uiPriority w:val="99"/>
    <w:semiHidden/>
    <w:rsid w:val="00CB7D8A"/>
    <w:rPr>
      <w:color w:val="808080"/>
    </w:rPr>
  </w:style>
  <w:style w:type="paragraph" w:customStyle="1" w:styleId="ODSTAVEC2">
    <w:name w:val="ODSTAVEC2"/>
    <w:rsid w:val="0040151F"/>
    <w:pPr>
      <w:spacing w:after="0" w:line="240" w:lineRule="auto"/>
      <w:ind w:left="624"/>
      <w:jc w:val="both"/>
    </w:pPr>
    <w:rPr>
      <w:rFonts w:ascii="Times New Roman" w:eastAsia="Times New Roman" w:hAnsi="Times New Roman" w:cs="Times New Roman"/>
      <w:noProof/>
      <w:sz w:val="24"/>
      <w:szCs w:val="20"/>
      <w:lang w:eastAsia="sk-SK"/>
    </w:rPr>
  </w:style>
  <w:style w:type="character" w:styleId="Vrazn">
    <w:name w:val="Strong"/>
    <w:basedOn w:val="Predvolenpsmoodseku"/>
    <w:uiPriority w:val="22"/>
    <w:qFormat/>
    <w:rsid w:val="004324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780638">
      <w:bodyDiv w:val="1"/>
      <w:marLeft w:val="0"/>
      <w:marRight w:val="0"/>
      <w:marTop w:val="0"/>
      <w:marBottom w:val="0"/>
      <w:divBdr>
        <w:top w:val="none" w:sz="0" w:space="0" w:color="auto"/>
        <w:left w:val="none" w:sz="0" w:space="0" w:color="auto"/>
        <w:bottom w:val="none" w:sz="0" w:space="0" w:color="auto"/>
        <w:right w:val="none" w:sz="0" w:space="0" w:color="auto"/>
      </w:divBdr>
    </w:div>
    <w:div w:id="217135062">
      <w:bodyDiv w:val="1"/>
      <w:marLeft w:val="0"/>
      <w:marRight w:val="0"/>
      <w:marTop w:val="0"/>
      <w:marBottom w:val="0"/>
      <w:divBdr>
        <w:top w:val="none" w:sz="0" w:space="0" w:color="auto"/>
        <w:left w:val="none" w:sz="0" w:space="0" w:color="auto"/>
        <w:bottom w:val="none" w:sz="0" w:space="0" w:color="auto"/>
        <w:right w:val="none" w:sz="0" w:space="0" w:color="auto"/>
      </w:divBdr>
    </w:div>
    <w:div w:id="229003218">
      <w:bodyDiv w:val="1"/>
      <w:marLeft w:val="0"/>
      <w:marRight w:val="0"/>
      <w:marTop w:val="0"/>
      <w:marBottom w:val="0"/>
      <w:divBdr>
        <w:top w:val="none" w:sz="0" w:space="0" w:color="auto"/>
        <w:left w:val="none" w:sz="0" w:space="0" w:color="auto"/>
        <w:bottom w:val="none" w:sz="0" w:space="0" w:color="auto"/>
        <w:right w:val="none" w:sz="0" w:space="0" w:color="auto"/>
      </w:divBdr>
    </w:div>
    <w:div w:id="273564224">
      <w:bodyDiv w:val="1"/>
      <w:marLeft w:val="0"/>
      <w:marRight w:val="0"/>
      <w:marTop w:val="0"/>
      <w:marBottom w:val="0"/>
      <w:divBdr>
        <w:top w:val="none" w:sz="0" w:space="0" w:color="auto"/>
        <w:left w:val="none" w:sz="0" w:space="0" w:color="auto"/>
        <w:bottom w:val="none" w:sz="0" w:space="0" w:color="auto"/>
        <w:right w:val="none" w:sz="0" w:space="0" w:color="auto"/>
      </w:divBdr>
    </w:div>
    <w:div w:id="345325958">
      <w:bodyDiv w:val="1"/>
      <w:marLeft w:val="0"/>
      <w:marRight w:val="0"/>
      <w:marTop w:val="0"/>
      <w:marBottom w:val="0"/>
      <w:divBdr>
        <w:top w:val="none" w:sz="0" w:space="0" w:color="auto"/>
        <w:left w:val="none" w:sz="0" w:space="0" w:color="auto"/>
        <w:bottom w:val="none" w:sz="0" w:space="0" w:color="auto"/>
        <w:right w:val="none" w:sz="0" w:space="0" w:color="auto"/>
      </w:divBdr>
    </w:div>
    <w:div w:id="469595887">
      <w:bodyDiv w:val="1"/>
      <w:marLeft w:val="0"/>
      <w:marRight w:val="0"/>
      <w:marTop w:val="0"/>
      <w:marBottom w:val="0"/>
      <w:divBdr>
        <w:top w:val="none" w:sz="0" w:space="0" w:color="auto"/>
        <w:left w:val="none" w:sz="0" w:space="0" w:color="auto"/>
        <w:bottom w:val="none" w:sz="0" w:space="0" w:color="auto"/>
        <w:right w:val="none" w:sz="0" w:space="0" w:color="auto"/>
      </w:divBdr>
    </w:div>
    <w:div w:id="495614959">
      <w:bodyDiv w:val="1"/>
      <w:marLeft w:val="0"/>
      <w:marRight w:val="0"/>
      <w:marTop w:val="0"/>
      <w:marBottom w:val="0"/>
      <w:divBdr>
        <w:top w:val="none" w:sz="0" w:space="0" w:color="auto"/>
        <w:left w:val="none" w:sz="0" w:space="0" w:color="auto"/>
        <w:bottom w:val="none" w:sz="0" w:space="0" w:color="auto"/>
        <w:right w:val="none" w:sz="0" w:space="0" w:color="auto"/>
      </w:divBdr>
    </w:div>
    <w:div w:id="510603059">
      <w:bodyDiv w:val="1"/>
      <w:marLeft w:val="0"/>
      <w:marRight w:val="0"/>
      <w:marTop w:val="0"/>
      <w:marBottom w:val="0"/>
      <w:divBdr>
        <w:top w:val="none" w:sz="0" w:space="0" w:color="auto"/>
        <w:left w:val="none" w:sz="0" w:space="0" w:color="auto"/>
        <w:bottom w:val="none" w:sz="0" w:space="0" w:color="auto"/>
        <w:right w:val="none" w:sz="0" w:space="0" w:color="auto"/>
      </w:divBdr>
    </w:div>
    <w:div w:id="572861080">
      <w:bodyDiv w:val="1"/>
      <w:marLeft w:val="0"/>
      <w:marRight w:val="0"/>
      <w:marTop w:val="0"/>
      <w:marBottom w:val="0"/>
      <w:divBdr>
        <w:top w:val="none" w:sz="0" w:space="0" w:color="auto"/>
        <w:left w:val="none" w:sz="0" w:space="0" w:color="auto"/>
        <w:bottom w:val="none" w:sz="0" w:space="0" w:color="auto"/>
        <w:right w:val="none" w:sz="0" w:space="0" w:color="auto"/>
      </w:divBdr>
    </w:div>
    <w:div w:id="878324294">
      <w:bodyDiv w:val="1"/>
      <w:marLeft w:val="0"/>
      <w:marRight w:val="0"/>
      <w:marTop w:val="0"/>
      <w:marBottom w:val="0"/>
      <w:divBdr>
        <w:top w:val="none" w:sz="0" w:space="0" w:color="auto"/>
        <w:left w:val="none" w:sz="0" w:space="0" w:color="auto"/>
        <w:bottom w:val="none" w:sz="0" w:space="0" w:color="auto"/>
        <w:right w:val="none" w:sz="0" w:space="0" w:color="auto"/>
      </w:divBdr>
      <w:divsChild>
        <w:div w:id="1473018830">
          <w:marLeft w:val="0"/>
          <w:marRight w:val="0"/>
          <w:marTop w:val="0"/>
          <w:marBottom w:val="0"/>
          <w:divBdr>
            <w:top w:val="none" w:sz="0" w:space="0" w:color="auto"/>
            <w:left w:val="none" w:sz="0" w:space="0" w:color="auto"/>
            <w:bottom w:val="none" w:sz="0" w:space="0" w:color="auto"/>
            <w:right w:val="none" w:sz="0" w:space="0" w:color="auto"/>
          </w:divBdr>
          <w:divsChild>
            <w:div w:id="1663006250">
              <w:marLeft w:val="0"/>
              <w:marRight w:val="0"/>
              <w:marTop w:val="0"/>
              <w:marBottom w:val="0"/>
              <w:divBdr>
                <w:top w:val="none" w:sz="0" w:space="0" w:color="auto"/>
                <w:left w:val="none" w:sz="0" w:space="0" w:color="auto"/>
                <w:bottom w:val="none" w:sz="0" w:space="0" w:color="auto"/>
                <w:right w:val="none" w:sz="0" w:space="0" w:color="auto"/>
              </w:divBdr>
              <w:divsChild>
                <w:div w:id="1054279453">
                  <w:marLeft w:val="0"/>
                  <w:marRight w:val="0"/>
                  <w:marTop w:val="0"/>
                  <w:marBottom w:val="0"/>
                  <w:divBdr>
                    <w:top w:val="none" w:sz="0" w:space="0" w:color="auto"/>
                    <w:left w:val="none" w:sz="0" w:space="0" w:color="auto"/>
                    <w:bottom w:val="none" w:sz="0" w:space="0" w:color="auto"/>
                    <w:right w:val="none" w:sz="0" w:space="0" w:color="auto"/>
                  </w:divBdr>
                  <w:divsChild>
                    <w:div w:id="341399683">
                      <w:marLeft w:val="0"/>
                      <w:marRight w:val="0"/>
                      <w:marTop w:val="0"/>
                      <w:marBottom w:val="0"/>
                      <w:divBdr>
                        <w:top w:val="none" w:sz="0" w:space="0" w:color="auto"/>
                        <w:left w:val="none" w:sz="0" w:space="0" w:color="auto"/>
                        <w:bottom w:val="none" w:sz="0" w:space="0" w:color="auto"/>
                        <w:right w:val="none" w:sz="0" w:space="0" w:color="auto"/>
                      </w:divBdr>
                      <w:divsChild>
                        <w:div w:id="1955135632">
                          <w:marLeft w:val="0"/>
                          <w:marRight w:val="0"/>
                          <w:marTop w:val="0"/>
                          <w:marBottom w:val="0"/>
                          <w:divBdr>
                            <w:top w:val="none" w:sz="0" w:space="0" w:color="auto"/>
                            <w:left w:val="none" w:sz="0" w:space="0" w:color="auto"/>
                            <w:bottom w:val="none" w:sz="0" w:space="0" w:color="auto"/>
                            <w:right w:val="none" w:sz="0" w:space="0" w:color="auto"/>
                          </w:divBdr>
                          <w:divsChild>
                            <w:div w:id="1678799653">
                              <w:marLeft w:val="0"/>
                              <w:marRight w:val="0"/>
                              <w:marTop w:val="0"/>
                              <w:marBottom w:val="0"/>
                              <w:divBdr>
                                <w:top w:val="none" w:sz="0" w:space="0" w:color="auto"/>
                                <w:left w:val="none" w:sz="0" w:space="0" w:color="auto"/>
                                <w:bottom w:val="none" w:sz="0" w:space="0" w:color="auto"/>
                                <w:right w:val="none" w:sz="0" w:space="0" w:color="auto"/>
                              </w:divBdr>
                              <w:divsChild>
                                <w:div w:id="1406537538">
                                  <w:marLeft w:val="0"/>
                                  <w:marRight w:val="0"/>
                                  <w:marTop w:val="0"/>
                                  <w:marBottom w:val="0"/>
                                  <w:divBdr>
                                    <w:top w:val="none" w:sz="0" w:space="0" w:color="auto"/>
                                    <w:left w:val="none" w:sz="0" w:space="0" w:color="auto"/>
                                    <w:bottom w:val="none" w:sz="0" w:space="0" w:color="auto"/>
                                    <w:right w:val="none" w:sz="0" w:space="0" w:color="auto"/>
                                  </w:divBdr>
                                  <w:divsChild>
                                    <w:div w:id="424420710">
                                      <w:marLeft w:val="0"/>
                                      <w:marRight w:val="0"/>
                                      <w:marTop w:val="0"/>
                                      <w:marBottom w:val="0"/>
                                      <w:divBdr>
                                        <w:top w:val="none" w:sz="0" w:space="0" w:color="auto"/>
                                        <w:left w:val="none" w:sz="0" w:space="0" w:color="auto"/>
                                        <w:bottom w:val="none" w:sz="0" w:space="0" w:color="auto"/>
                                        <w:right w:val="none" w:sz="0" w:space="0" w:color="auto"/>
                                      </w:divBdr>
                                      <w:divsChild>
                                        <w:div w:id="1971276145">
                                          <w:marLeft w:val="0"/>
                                          <w:marRight w:val="0"/>
                                          <w:marTop w:val="0"/>
                                          <w:marBottom w:val="0"/>
                                          <w:divBdr>
                                            <w:top w:val="none" w:sz="0" w:space="0" w:color="auto"/>
                                            <w:left w:val="none" w:sz="0" w:space="0" w:color="auto"/>
                                            <w:bottom w:val="none" w:sz="0" w:space="0" w:color="auto"/>
                                            <w:right w:val="none" w:sz="0" w:space="0" w:color="auto"/>
                                          </w:divBdr>
                                          <w:divsChild>
                                            <w:div w:id="1973899806">
                                              <w:marLeft w:val="0"/>
                                              <w:marRight w:val="0"/>
                                              <w:marTop w:val="0"/>
                                              <w:marBottom w:val="0"/>
                                              <w:divBdr>
                                                <w:top w:val="none" w:sz="0" w:space="0" w:color="auto"/>
                                                <w:left w:val="none" w:sz="0" w:space="0" w:color="auto"/>
                                                <w:bottom w:val="none" w:sz="0" w:space="0" w:color="auto"/>
                                                <w:right w:val="none" w:sz="0" w:space="0" w:color="auto"/>
                                              </w:divBdr>
                                              <w:divsChild>
                                                <w:div w:id="55077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7949335">
      <w:bodyDiv w:val="1"/>
      <w:marLeft w:val="0"/>
      <w:marRight w:val="0"/>
      <w:marTop w:val="0"/>
      <w:marBottom w:val="0"/>
      <w:divBdr>
        <w:top w:val="none" w:sz="0" w:space="0" w:color="auto"/>
        <w:left w:val="none" w:sz="0" w:space="0" w:color="auto"/>
        <w:bottom w:val="none" w:sz="0" w:space="0" w:color="auto"/>
        <w:right w:val="none" w:sz="0" w:space="0" w:color="auto"/>
      </w:divBdr>
    </w:div>
    <w:div w:id="1325276601">
      <w:bodyDiv w:val="1"/>
      <w:marLeft w:val="0"/>
      <w:marRight w:val="0"/>
      <w:marTop w:val="0"/>
      <w:marBottom w:val="0"/>
      <w:divBdr>
        <w:top w:val="none" w:sz="0" w:space="0" w:color="auto"/>
        <w:left w:val="none" w:sz="0" w:space="0" w:color="auto"/>
        <w:bottom w:val="none" w:sz="0" w:space="0" w:color="auto"/>
        <w:right w:val="none" w:sz="0" w:space="0" w:color="auto"/>
      </w:divBdr>
    </w:div>
    <w:div w:id="1394620336">
      <w:bodyDiv w:val="1"/>
      <w:marLeft w:val="0"/>
      <w:marRight w:val="0"/>
      <w:marTop w:val="0"/>
      <w:marBottom w:val="0"/>
      <w:divBdr>
        <w:top w:val="none" w:sz="0" w:space="0" w:color="auto"/>
        <w:left w:val="none" w:sz="0" w:space="0" w:color="auto"/>
        <w:bottom w:val="none" w:sz="0" w:space="0" w:color="auto"/>
        <w:right w:val="none" w:sz="0" w:space="0" w:color="auto"/>
      </w:divBdr>
    </w:div>
    <w:div w:id="1603562517">
      <w:bodyDiv w:val="1"/>
      <w:marLeft w:val="0"/>
      <w:marRight w:val="0"/>
      <w:marTop w:val="0"/>
      <w:marBottom w:val="0"/>
      <w:divBdr>
        <w:top w:val="none" w:sz="0" w:space="0" w:color="auto"/>
        <w:left w:val="none" w:sz="0" w:space="0" w:color="auto"/>
        <w:bottom w:val="none" w:sz="0" w:space="0" w:color="auto"/>
        <w:right w:val="none" w:sz="0" w:space="0" w:color="auto"/>
      </w:divBdr>
    </w:div>
    <w:div w:id="1739791714">
      <w:bodyDiv w:val="1"/>
      <w:marLeft w:val="0"/>
      <w:marRight w:val="0"/>
      <w:marTop w:val="0"/>
      <w:marBottom w:val="0"/>
      <w:divBdr>
        <w:top w:val="none" w:sz="0" w:space="0" w:color="auto"/>
        <w:left w:val="none" w:sz="0" w:space="0" w:color="auto"/>
        <w:bottom w:val="none" w:sz="0" w:space="0" w:color="auto"/>
        <w:right w:val="none" w:sz="0" w:space="0" w:color="auto"/>
      </w:divBdr>
    </w:div>
    <w:div w:id="1941331675">
      <w:bodyDiv w:val="1"/>
      <w:marLeft w:val="0"/>
      <w:marRight w:val="0"/>
      <w:marTop w:val="0"/>
      <w:marBottom w:val="0"/>
      <w:divBdr>
        <w:top w:val="none" w:sz="0" w:space="0" w:color="auto"/>
        <w:left w:val="none" w:sz="0" w:space="0" w:color="auto"/>
        <w:bottom w:val="none" w:sz="0" w:space="0" w:color="auto"/>
        <w:right w:val="none" w:sz="0" w:space="0" w:color="auto"/>
      </w:divBdr>
    </w:div>
    <w:div w:id="2018845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65425B-0F0F-4305-B721-4A7AE9EF3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1553</TotalTime>
  <Pages>5</Pages>
  <Words>2254</Words>
  <Characters>12851</Characters>
  <Application>Microsoft Office Word</Application>
  <DocSecurity>0</DocSecurity>
  <Lines>107</Lines>
  <Paragraphs>30</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DOPRAVOPROJEKT, a.s.</Company>
  <LinksUpToDate>false</LinksUpToDate>
  <CharactersWithSpaces>15075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Urban Juraj Ing.</dc:creator>
  <cp:lastModifiedBy>Urban Juraj Ing.</cp:lastModifiedBy>
  <cp:revision>200</cp:revision>
  <cp:lastPrinted>2020-08-17T08:37:00Z</cp:lastPrinted>
  <dcterms:created xsi:type="dcterms:W3CDTF">2018-03-10T11:35:00Z</dcterms:created>
  <dcterms:modified xsi:type="dcterms:W3CDTF">2020-08-18T11:38:00Z</dcterms:modified>
</cp:coreProperties>
</file>